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России от 30.11.2015 N 894</w:t>
              <w:br/>
              <w:t xml:space="preserve">(ред. от 21.08.2025)</w:t>
              <w:br/>
              <w:t xml:space="preserve">"Об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преимущества"</w:t>
              <w:br/>
              <w:t xml:space="preserve">(Зарегистрировано в Минюсте России 30.12.2015 N 40375)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декабря 2015 г. N 40375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ЭКОНОМИЧЕСКОГО РАЗВИТИЯ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ноября 2015 г. N 894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МЕТОДИКИ</w:t>
      </w:r>
    </w:p>
    <w:p>
      <w:pPr>
        <w:pStyle w:val="2"/>
        <w:jc w:val="center"/>
      </w:pPr>
      <w:r>
        <w:rPr>
          <w:sz w:val="24"/>
        </w:rPr>
        <w:t xml:space="preserve">ОЦЕНКИ ЭФФЕКТИВНОСТИ ПРОЕКТА ГОСУДАРСТВЕННО-ЧАСТНОГО</w:t>
      </w:r>
    </w:p>
    <w:p>
      <w:pPr>
        <w:pStyle w:val="2"/>
        <w:jc w:val="center"/>
      </w:pPr>
      <w:r>
        <w:rPr>
          <w:sz w:val="24"/>
        </w:rPr>
        <w:t xml:space="preserve">ПАРТНЕРСТВА, ПРОЕКТА МУНИЦИПАЛЬНО-ЧАСТНОГО ПАРТНЕРСТВА</w:t>
      </w:r>
    </w:p>
    <w:p>
      <w:pPr>
        <w:pStyle w:val="2"/>
        <w:jc w:val="center"/>
      </w:pPr>
      <w:r>
        <w:rPr>
          <w:sz w:val="24"/>
        </w:rPr>
        <w:t xml:space="preserve">И ОПРЕДЕЛЕНИЯ ИХ СРАВНИТЕЛЬНОГО ПРЕИМУЩЕСТВА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Минэкономразвития России от 21.08.2025 N 543)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7 статьи 9</w:t>
        </w:r>
      </w:hyperlink>
      <w:r>
        <w:rPr>
          <w:sz w:val="24"/>
        </w:rPr>
        <w:t xml:space="preserve"> и </w:t>
      </w:r>
      <w:hyperlink w:history="0" r:id="rId10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32" w:tooltip="МЕТОДИКА">
        <w:r>
          <w:rPr>
            <w:sz w:val="24"/>
            <w:color w:val="0000ff"/>
          </w:rPr>
          <w:t xml:space="preserve">Методику</w:t>
        </w:r>
      </w:hyperlink>
      <w:r>
        <w:rPr>
          <w:sz w:val="24"/>
        </w:rPr>
        <w:t xml:space="preserve">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 1 января 2016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возложить на заместителя Министра Воскресенского С.С.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Врио Министра</w:t>
      </w:r>
    </w:p>
    <w:p>
      <w:pPr>
        <w:pStyle w:val="0"/>
        <w:jc w:val="right"/>
      </w:pPr>
      <w:r>
        <w:rPr>
          <w:sz w:val="24"/>
        </w:rPr>
        <w:t xml:space="preserve">А.Е.ЛИХАЧЕВ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30.11.2015 N 894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ОЦЕНКИ ЭФФЕКТИВНОСТИ ПРОЕКТА ГОСУДАРСТВЕННО-ЧАСТНОГО</w:t>
      </w:r>
    </w:p>
    <w:p>
      <w:pPr>
        <w:pStyle w:val="2"/>
        <w:jc w:val="center"/>
      </w:pPr>
      <w:r>
        <w:rPr>
          <w:sz w:val="24"/>
        </w:rPr>
        <w:t xml:space="preserve">ПАРТНЕРСТВА, ПРОЕКТА МУНИЦИПАЛЬНО-ЧАСТНОГО ПАРТНЕРСТВА</w:t>
      </w:r>
    </w:p>
    <w:p>
      <w:pPr>
        <w:pStyle w:val="2"/>
        <w:jc w:val="center"/>
      </w:pPr>
      <w:r>
        <w:rPr>
          <w:sz w:val="24"/>
        </w:rPr>
        <w:t xml:space="preserve">И ОПРЕДЕЛЕНИЯ ИХ СРАВНИТЕЛЬНОГО ПРЕИМУЩЕСТВА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1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Минэкономразвития России от 21.08.2025 N 543)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 (далее - Методика) разработана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Методика применяется при разработке предложения о реализации проекта государственно-частного партнерства, проекта муниципально-частного партнерства (далее соответственно - предложение, проект) публичным партнером или лицом, которое в соответствии с Федеральным </w:t>
      </w:r>
      <w:hyperlink w:history="0" r:id="rId12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может быть частным партнером (далее - инициатор проекта), а также при рассмотрении предложения уполномоченным органом, государственной корпорацией развития "ВЭБ.РФ" (далее - ВЭБ.РФ) и устанавливает требования и порядок расчета показателей, используемых в целях оценки эффективности проекта и определения его сравнительного преимущества.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bookmarkStart w:id="44" w:name="P44"/>
    <w:bookmarkEnd w:id="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Оценка эффективности проекта проводится до определения сравнительного преимущества проекта на основании следующих критериев: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финансовая эффективность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социально-экономический эффект от реализации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Определение сравнительного преимущества проводится в случае, если проект признан эффективным по каждому из критериев, указанных в </w:t>
      </w:r>
      <w:hyperlink w:history="0" w:anchor="P44" w:tooltip="3. Оценка эффективности проекта проводится до определения сравнительного преимущества проекта на основании следующих критериев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Методики.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Сравнительное преимущество проекта определяется на основании соотношения следующих показателей: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чистых дисконтированных расходов средств бюджетов бюджетной системы Российской Федерации при реализации проекта и чистых дисконтированных расходов при реализации государственного контракта, муниципального контракта (PBV) &lt;1&gt;;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Справочно: present budget value.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 при реализации государственного контракта, муниципального контракта. (PRV)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Справочно: present risk value.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Расчет показателей, используемых для оценки эффективности проекта и определения его сравнительного преимущества, осуществляется на основе финансовой модели проекта (далее - финансовая модель), соответствующей требованиям, установленным в </w:t>
      </w:r>
      <w:hyperlink w:history="0" w:anchor="P63" w:tooltip="II. Требования к финансовой модели">
        <w:r>
          <w:rPr>
            <w:sz w:val="24"/>
            <w:color w:val="0000ff"/>
          </w:rPr>
          <w:t xml:space="preserve">главе II</w:t>
        </w:r>
      </w:hyperlink>
      <w:r>
        <w:rPr>
          <w:sz w:val="24"/>
        </w:rPr>
        <w:t xml:space="preserve"> Методики, и документов, необходимых для оценки эффективности проекта и объемов принимаемых публичным партнером обязательств в случае возникновения рисков.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14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Ставка дисконтирования расходов и поступлений средств бюджетов бюджетной системы Российской Федерации, используемая для определения сравнительного преимущества, зависит от планируемых источников бюджетного финансирования и рассчитывается в соответствии с </w:t>
      </w:r>
      <w:hyperlink w:history="0" w:anchor="P400" w:tooltip="25. Расчет ставки дисконтирования расходов средств бюджетов бюджетной системы Российской Федерации.">
        <w:r>
          <w:rPr>
            <w:sz w:val="24"/>
            <w:color w:val="0000ff"/>
          </w:rPr>
          <w:t xml:space="preserve">пунктом 25</w:t>
        </w:r>
      </w:hyperlink>
      <w:r>
        <w:rPr>
          <w:sz w:val="24"/>
        </w:rPr>
        <w:t xml:space="preserve"> Методики.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Валюта представления результатов оценки финансовой эффективности проекта и определения сравнительного преимущества - российский рубль. В случае наличия в проекте доходов и расходов, предполагающих расчеты в иностранной валюте (доллар США, евро), финансовая модель должна содержать значения обменного курса в соответствии с актуальным прогнозом Министерства экономического развития Российской Федерации.</w:t>
      </w:r>
    </w:p>
    <w:p>
      <w:pPr>
        <w:pStyle w:val="0"/>
        <w:jc w:val="both"/>
      </w:pPr>
      <w:r>
        <w:rPr>
          <w:sz w:val="24"/>
        </w:rPr>
      </w:r>
    </w:p>
    <w:bookmarkStart w:id="63" w:name="P63"/>
    <w:bookmarkEnd w:id="63"/>
    <w:p>
      <w:pPr>
        <w:pStyle w:val="2"/>
        <w:outlineLvl w:val="1"/>
        <w:jc w:val="center"/>
      </w:pPr>
      <w:r>
        <w:rPr>
          <w:sz w:val="24"/>
        </w:rPr>
        <w:t xml:space="preserve">II. Требования к финансовой модели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Требования к построению и оформлению финансовой модели.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9.1. Построение финансовой модели осуществляется публичным партнером или инициатором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 Информация в финансовой модели должна быть представлена в следующей последовательности: листы с исходными данными и допущениями, листы с расчетами, листы с результатами расчетов. Визуально эти элементы должны быть разделены, но связаны расчетными формулами. Финансовая модель должна иметь последовательный и логичный формат.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9.3. Все вводные данные финансовой модели должны быть расположены на листах с исходными данными и допущениями. На листах с расчетами и листах с результатами расчетов вводные данные должны быть реализованы в виде прямых ссылок на листы финансовой модели с исходными данными и допущениями. Все вычисляемые значения и результаты финансовой модели должны автоматически пересчитываться при изменении вводных данных финансовой модели.</w:t>
      </w:r>
    </w:p>
    <w:p>
      <w:pPr>
        <w:pStyle w:val="0"/>
        <w:jc w:val="both"/>
      </w:pPr>
      <w:r>
        <w:rPr>
          <w:sz w:val="24"/>
        </w:rPr>
        <w:t xml:space="preserve">(п. 9.3 в ред. </w:t>
      </w:r>
      <w:hyperlink w:history="0" r:id="rId16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9.4. Финансовая модель должна обладать степенью детализации, то есть содержать в том числе разбивки по основным видам продукции, регионам, производственным единицам, периодам, статьям доходов и затрат (если применимо). Финансовая модель должна представлять информацию в интегрированном виде, а именно - в ее составе должны присутствовать взаимосвязанные друг с другом прогнозный отчет о финансовых результатах, прогнозный бухгалтерский баланс, прогнозный отчет о движении денежных средств.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9.5. Ячейки, содержащие различные типы данных, должны выделяться различными стилями таким образом, чтобы они были легко визуально различимы. Подбор стилей должен обеспечивать доступность восприятия финансовой модели.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9.6. Финансовая модель должна отвечать принципу единообразия и последовательности в расчетах и форматировании. Формулы расчета финансовых показателей (коэффициентов), которые присутствуют в финансовой модели, должны быть неизменными для всех частей и периодов финансовой модели.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9.7. Финансовая модель не должна содержать циклических ссылок (последовательность ссылок, при которой формула ссылается (через другие ссылки или напрямую) на саму себя). При необходимости циклические ссылки должны разрешаться при помощи макросов.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9.8. Шаг прогноза в финансовой модели на этапе проектирования и создания объекта соглашения должен составлять не более квартала, а на этапе эксплуатации и (или) технического обслуживания объекта соглашения - не более одного года, в случае наличия месячной или квартальной сезонности - не более месяца (квартала) соответственно. На одном листе финансовой модели недопустимо использование расчетных временных периодов разной продолжительности.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9.9. Финансовая модель не должна содержать ссылок на внешние файлы.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9.10. Валюта представления результатов финансовой модели - российский рубль. При использовании иностранных валют (доллар США, евро) финансовая модель должна содержать значения обменного курса по прогнозу Министерства экономического развития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9.11. Финансовая модель должна допускать внесение изменений в первоначально заложенные допущения (исходные данные) и автоматически корректировать финансовые прогнозы в случае внесения таких изменений.</w:t>
      </w:r>
    </w:p>
    <w:p>
      <w:pPr>
        <w:pStyle w:val="0"/>
        <w:jc w:val="both"/>
      </w:pPr>
      <w:r>
        <w:rPr>
          <w:sz w:val="24"/>
        </w:rPr>
        <w:t xml:space="preserve">(п. 9.11 в ред. </w:t>
      </w:r>
      <w:hyperlink w:history="0" r:id="rId19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9.12. Финансовая модель должна быть предоставлена в электронном виде в формате Microsoft Excel (2007 или более поздняя версия) на USB-флеш-накопителе (далее - электронный носитель).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9.13. Финансовая модель должна сопровождаться инструкцией в формате Microsoft Word на электронном носителе.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9.14. На электронном носителе должны быть записаны две версии файлов финансовой модели и инструкции: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без ограничений на проведение изменений и копирование содержащейся в них информации, а также скрытых листов, любой зашифрованной или защищенной паролем информации;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ограничением на проведение изменений и копирование содержащейся в них информации, без скрытых листов, любой зашифрованной или защищенной паролем информации.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9.15. Название файлов должны содержать информацию о проекте и наличии ограничений на изменение, копирование. На первом листе финансовой модели должно быть представлено содержание финансовой модели с указанием всех представленных в финансовой модели листов. Каждый пункт содержания должен быть представлен в виде ссылки на соответствующий лист финансовой модели, в каждом листе финансовой модели должна присутствовать ссылка на содержание для удобного перемещения между листами финансовой модели.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9.16. Данные, содержащиеся в финансовой модели, должны соответствовать данным, содержащимся в проекте соглашения.</w:t>
      </w:r>
    </w:p>
    <w:p>
      <w:pPr>
        <w:pStyle w:val="0"/>
        <w:jc w:val="both"/>
      </w:pPr>
      <w:r>
        <w:rPr>
          <w:sz w:val="24"/>
        </w:rPr>
        <w:t xml:space="preserve">(п. 9.16 введен </w:t>
      </w:r>
      <w:hyperlink w:history="0" r:id="rId24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Инструкция к финансовой модели должна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подробное описание структуры и функций финансовой модели, включая описание всех заложенных в нее макросов (если применимо);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инструкции по использованию функций финансовой модели;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контактные данные лиц, ответственных за предоставление разъяснений по финансовой модели.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Требования к содержанию листов с исходными данными и допущениями финансовой модели.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 На листе с исходными данными и допущениями должны быть детально описаны исходные данные о проекте, использованные для подготовки финансовой модели, в том числе: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11.1.1. Основные методологические предположения, использованные при построении финансовых прогнозов,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прогнозный период (не должен быть менее срока реализации проекта, в том числе дисконтируемого периода окупаемости проекта и срока возврата долгового финансирования (если применимо);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начальный момент прогнозного периода (должен быть не ранее дня представления предложения);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шаг прогноза;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тип денежных потоков (номинальные, реальные) и валюта денежных потоков;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ключевые методологические предположения (при наличии).</w:t>
      </w:r>
    </w:p>
    <w:p>
      <w:pPr>
        <w:pStyle w:val="0"/>
        <w:jc w:val="both"/>
      </w:pPr>
      <w:r>
        <w:rPr>
          <w:sz w:val="24"/>
        </w:rPr>
        <w:t xml:space="preserve">(п. 11.1.1 в ред. </w:t>
      </w:r>
      <w:hyperlink w:history="0" r:id="rId28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11.1.2. Макроэкономические данные (в том числе прогнозы инфляции, обменных курсов, роста реальной заработной платы).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11.1.3. Прогноз капитальных вложений.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11.1.4. Прогноз объема продаж и объема производства (иных количественных факторов, определяющих выручку).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11.1.5. Прогноз цен (тарифов) на готовую продукцию (услуги).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11.1.6. Нормы расхода ресурсов на единицу выпуска.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11.1.7. Прогноз цен на основное сырье и материалы и других затрат, составляющих значительную долю в себестоимости, прогноз иных переменных затрат.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11.1.8. Прогноз затрат на персонал (штатное расписание или бюджет затрат на персонал с учетом планируемых индексаций оплаты труда и увеличения штата).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11.1.9. Прогноз условно постоянных затрат.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11.1.10. Условия расчетов с контрагентами (отсрочки и предоплаты по расчетам с поставщиками и подрядчиками, покупателями, бюджетом, персоналом) и (или) нормативы оборачиваемости.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11.1.11. Налоговые предпосылки: информация о налогах и иных обязательных платежах (в том числе пошлинах, страховых взносах), которые подлежат уплате в соответствии с действующим законодательством Российской Федерации о налогах и сборах (с учетом ожидаемых изменений).</w:t>
      </w:r>
    </w:p>
    <w:p>
      <w:pPr>
        <w:pStyle w:val="0"/>
        <w:jc w:val="both"/>
      </w:pPr>
      <w:r>
        <w:rPr>
          <w:sz w:val="24"/>
        </w:rPr>
        <w:t xml:space="preserve">(п. 11.1.11 в ред. </w:t>
      </w:r>
      <w:hyperlink w:history="0" r:id="rId29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11.1.12. Предпосылки по учетной политике (политика по амортизации, капитализации затрат, созданию резервов, признанию выручки).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11.1.13. Прогнозная структура финансирования, условия по заемному финансированию (процентные ставки, график получения и обслуживания долга).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11.1.14. Данные для расчета ставки дисконтирования.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11.1.15. Иные исходные данные и предпосылки, важные для данной отрасли и типа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11.2. Листы с исходными данными и допущениями должны содержать источники, использованные для формирования исходных данных и допущений.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11.3. Один из листов с исходными данными и допущениями должен содержать описание алгоритма и принципов расчета всех ключевых показателей проекта, рассчитываемых в финансовой модели (в том числе чистая приведенная стоимость проекта (NPV</w:t>
      </w:r>
      <w:r>
        <w:rPr>
          <w:sz w:val="24"/>
          <w:vertAlign w:val="subscript"/>
        </w:rPr>
        <w:t xml:space="preserve">pp</w:t>
      </w:r>
      <w:r>
        <w:rPr>
          <w:sz w:val="24"/>
        </w:rPr>
        <w:t xml:space="preserve"> &lt;1&gt;), ставка дисконтирования, период окупаемости, DSCR &lt;2&gt; и иные финансовые коэффициенты).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Справочно: net present value.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Справочно: debt service coverage ratio.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Требования к содержанию финансовой модели.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12.1. Финансовая модель должна содержать один или несколько листов с исходными данными и допущениями, используемыми в финансовой модели и не противоречащими друг другу.</w:t>
      </w:r>
    </w:p>
    <w:p>
      <w:pPr>
        <w:pStyle w:val="0"/>
        <w:jc w:val="both"/>
      </w:pPr>
      <w:r>
        <w:rPr>
          <w:sz w:val="24"/>
        </w:rPr>
        <w:t xml:space="preserve">(п. 12.1 в ред. </w:t>
      </w:r>
      <w:hyperlink w:history="0" r:id="rId33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12.2. Финансовая модель должна включать расчеты налоговых платежей и обязательств частного партнера согласно законодательству Российской Федерации о налогах и сборах.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12.3. Финансовая модель должна содержать параметры расчета налога на прибыль, налога на имущество, налога на добавленную стоимость и иных применимых налогов и сборов (включая налоговую ставку, налоговую базу и налоговый период), а также страховых взносов;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информацию о налоговых льготах и льготах при уплате страховых взносов, если таковые предполагаются.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12.4. В финансовой модели должны быть указаны параметры расчета амортизации для целей налогообложения по каждой категории активов для всего периода прогнозирования.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12.5. При составлении финансовых прогнозов в финансовой модели необходимо учитывать следующие ограничения: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прогнозируются только денежные потоки, которые будут возникать при реализации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график привлечения финансирования должен быть привязан к графику инвестиций, денежные потоки по финансовой деятельности должны прогнозироваться на основе денежных потоков от операционной и инвестиционной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 окончании каждого прогнозного шага сумма остатка денежных средств на расчетных и резервных счетах не может принимать отрицательные значения (при возникновении в каком-либо периоде недостатка денежных средств с учетом остатка денежных средств на расчетных и резервных счетах должно прогнозироваться привлечение дополнительных источников финансирования);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 привлечении долгового финансирования должны прогнозироваться платежи по обслуживанию долга (с учетом возможной отсрочки выплаты начисленных процентов). В случае предположения о привлечении долгового финансирования должны рассчитываться свободные денежные потоки, доступные для обслуживания долга (CFADS &lt;1&gt;). CFADS включает прибыль до уплаты налогов, процентов и амортизационных отчислений, минус налог на прибыль организаций (уплаченный), минус изменения в оборотном капитале, минус инвестиции, плюс привлечение новых кредитов, плюс взносы учредителей (участников) частного партнера минус дивиденды и прочие выплаты акционерам (учредителям) частного партнера;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Справочно: cash flow available for debt servicing.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5) необходимо прогнозировать денежные потоки в тех валютах, в которых они реализуются (производятся поступления и платежи), приводить их к единой итоговой валюте - российскому рублю;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информацию о движении денежных средств, обусловленном получением и выплатой процентов и дивидендов, следует раскрывать отдельными строками;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продолжительность прогнозного периода не может быть менее дисконтированного срока окупаемости проекта и срока возврата долгового финансирования плюс три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расчеты должны учитывать общий принцип движения от натуральных показателей и единичных расценок к денежным показателям.</w:t>
      </w:r>
    </w:p>
    <w:p>
      <w:pPr>
        <w:pStyle w:val="0"/>
        <w:jc w:val="both"/>
      </w:pPr>
      <w:r>
        <w:rPr>
          <w:sz w:val="24"/>
        </w:rPr>
        <w:t xml:space="preserve">(п. 12.5 в ред. </w:t>
      </w:r>
      <w:hyperlink w:history="0" r:id="rId35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12.6. В финансовой модели должны быть приведены детальные расчеты: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свободного денежного потока от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чистых дисконтированных расходов средств бюджетов бюджетной системы Российской Федерации при реализации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чистых расходов средств бюджетов бюджетной системы Российской Федерации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ставки дисконтирования для частного партнера;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ставки дисконтирования расходов и поступлений средств бюджетов бюджетной системы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12.7. Ставки дисконтирования должны рассчитываться в процентах. Ставки дисконтирования и дисконтируемые денежные потоки должны соотноситься между собой следующим образом: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ставка дисконтирования для частного партнера и свободный денежный поток от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ставка дисконтирования расходов и поступлений средств бюджетов бюджетной системы Российской Федерации и чистые дисконтированные расходы средств бюджетов бюджетной системы Российской Федерации при реализации проекта либо чистые расходы средств бюджетов бюджетной системы Российской Федерации при реализации государственного контракта, муниципального контракта.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12.8. На отдельном листе (листах) финансовой модели должны быть представлены результаты финансовой модели, содержащие: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формы прогнозной годовой финансовой отчетности (в соответствии с российскими стандартами бухгалтерского учета);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ключевые показатели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 В финансовой модели должны быть представлены следующие формы прогнозной годовой финансовой отчетности: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12.9.1. Прогнозный отчет о финансовых результатах, содержащий в том числе следующие финансовые показатели по периодам реализации проекта: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выручка (по проекту в целом);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третий - седьмой утратили силу. - </w:t>
      </w:r>
      <w:hyperlink w:history="0" r:id="rId43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21.08.2025 N 543;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себестоимость продаж в том числе амортизационные отчисления;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валовая прибыль (убыток);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EBITDA &lt;1&gt; (операционная прибыль до вычета амортизации, процентов и налогов);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Справочно: earnings before interest, taxes, depreciation and amortization.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амортизационные отчисления;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45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21.08.2025 N 543;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проценты к уплате;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прочие расходы;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налоговые платежи в составе прочих расходов;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прибыль (убыток) до налогообложения;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текущий налог на прибыль;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чистая прибыль (убыток);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прочие доходы (в том числе субсидии из федерального бюджета, бюджетов государственных внебюджетных фондов Российской Федерации, бюджета субъекта Российской Федерации и бюджетов территориальных государственных внебюджетных фондов, местного бюджета в связи с эксплуатацией объекта соглашения (если применимо).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12.9.2. Прогнозный отчет о движении денежных средств, содержащий в том числе следующие финансовые показатели по периодам реализации проекта: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12.9.2.1. Денежные потоки от операционной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поступления от продажи продукции, товаров, выполнения работ и оказания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поступления в виде арендных платежей, лицензионных платежей, роялти, комиссионных и иных аналогичных платежей;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поступления в форме субсидий бюджетов бюджетной системы Российской Федерации в связи с эксплуатацией объекта соглашения (если применимо);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платежи поставщикам (подрядчикам) за сырье, материалы, работы,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платежи в связи с оплатой труда работников;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платежи процентов по долговым обязательствам;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платежи по налогу на прибыль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платежи по налогу на добавленную стоимость;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платежи по налогу на имущество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платежи по земельному налогу;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49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21.08.2025 N 543.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12.9.2.2. Денежные потоки от инвестиционной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платежи в связи с приобретением, созданием, модернизацией, реконструкцией и подготовкой к использованию внеоборотных активов;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платежи в связи с продажей внеоборотных активов.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12.9.2.3. Денежные потоки от финансовой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поступления в форме субсидий бюджетов бюджетной системы Российской Федерации в связи с созданием объекта соглашения;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кредитов и займов;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денежные вклады учредителей (участников);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выпуск акций, увеличения долей участия;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выпуск облигаций, векселей и других долговых ценных бумаг;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прочие поступления;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платежи учредителям (участникам) в связи с выкупом у них акций (долей участия) организации или их выходом из состава учредителей (участников);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уплата дивидендов и иных платежей по распределению прибыли в пользу учредителей (участников);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погашение (выкуп) векселей и других долговых ценных бумаг, возврат кредитов и займов.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12.9.3. Прогнозный бухгалтерский баланс, который должен содержать в том числе следующие финансовые показатели по периодам реализации проекта: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12.9.3.1. Внеоборотные активы: основные средства.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12.9.3.2. Оборотные активы: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запасы;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дебиторская задолженность;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денежные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прочие активы.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12.9.3.3. Капитал и резервы: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уставный капитал;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нераспределенная прибыль.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12.9.3.4. Долгосрочные обязательства: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заемные средства;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прочие долгосрочные обязательства.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12.9.3.5. Краткосрочные обязательства: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кредиторская задолженность;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прочие краткосрочные обязательства;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заемные средства.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3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12.10. Финансовая модель должна рассчитывать следующие ключевые показатели: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12.10.1. Свободный денежный поток от проекта.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12.10.2. Чистые дисконтированные расходы средств бюджетов бюджетной системы Российской Федерации при реализации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12.10.3. Чистые расходы средств бюджетов бюджетной системы Российской Федерации при реализации государственного контракта, муниципального контракта.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12.10.4. Ставка дисконтирования для частного партнера.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12.10.5. Ставка дисконтирования расходов и поступлений средств бюджетов бюджетной системы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12.10.6. Коэффициент покрытия выплат по обслуживанию долга денежным потоком (DSCR).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12.10.7. Резюме источников финансирования проекта на инвестиционной стадии: собственные средства, долговое финансирование, субсидии бюджетов бюджетной системы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12.10.8. Резюме направлений использования средств на инвестиционной стадии: капитальные затраты, налог на добавленную стоимость, финансовые затраты, административные затраты, иные затраты.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12.10.9. Показатели инвестиционной привлекательности для частного партнера: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простой период окупаемости;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дисконтированный период окупаемости;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внутренняя норма доходности на средства, предоставленные учредителями (участниками) частного партнера.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12.11. Коэффициент покрытия выплат по обслуживанию долга денежным потоком (DSCR)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8"/>
        </w:rPr>
        <w:drawing>
          <wp:inline distT="0" distB="0" distL="0" distR="0">
            <wp:extent cx="2057400" cy="5143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 где </w:t>
      </w:r>
      <w:r>
        <w:rPr>
          <w:position w:val="-9"/>
        </w:rPr>
        <w:drawing>
          <wp:inline distT="0" distB="0" distL="0" distR="0">
            <wp:extent cx="720090" cy="2743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DSCRt - коэффициент покрытия выплат долгового финансирования денежным потоком в периоде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Cash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остаток денежных средств на начало (входящий остаток средств) в периоде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CFADS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денежный поток, доступный для покрытия долга в периоде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P - выплаты в связи с погашением долговых ценных бумаг, возвратом кредитов и займов в периоде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 - выплата процентов по долговым обязательствам в периоде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период реализации проекта (шаг прогноза в соответствии с </w:t>
      </w:r>
      <w:hyperlink w:history="0" w:anchor="P76" w:tooltip="9.8. Шаг прогноза в финансовой модели на этапе проектирования и создания объекта соглашения должен составлять не более квартала, а на этапе эксплуатации и (или) технического обслуживания объекта соглашения - не более одного года, в случае наличия месячной или квартальной сезонности - не более месяца (квартала) соответственно. На одном листе финансовой модели недопустимо использование расчетных временных периодов разной продолжительности.">
        <w:r>
          <w:rPr>
            <w:sz w:val="24"/>
            <w:color w:val="0000ff"/>
          </w:rPr>
          <w:t xml:space="preserve">пунктом 9.8</w:t>
        </w:r>
      </w:hyperlink>
      <w:r>
        <w:rPr>
          <w:sz w:val="24"/>
        </w:rPr>
        <w:t xml:space="preserve"> Методики);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k</w:t>
      </w:r>
      <w:r>
        <w:rPr>
          <w:sz w:val="24"/>
        </w:rPr>
        <w:t xml:space="preserve"> - первый период выплаты по обслуживанию и (или) возврату заемных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последний период выплаты по обслуживанию и (или) возврату заемных средств.</w:t>
      </w:r>
    </w:p>
    <w:p>
      <w:pPr>
        <w:pStyle w:val="0"/>
        <w:jc w:val="both"/>
      </w:pPr>
      <w:r>
        <w:rPr>
          <w:sz w:val="24"/>
        </w:rPr>
        <w:t xml:space="preserve">(п. 12.11 в ред. </w:t>
      </w:r>
      <w:hyperlink w:history="0" r:id="rId57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12.12. Коэффициент покрытия выплат по обслуживанию долга денежным потоком (DSCR) не может принимать значение менее 1 (единицы).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Рекомендуемые источники информации для исходных данных (допущений) для финансовой модели включают: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 по проекту (в том числе разрешительная документация, договоры, сметы и калькуляции, спецификации, прайс-листы);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действующие нормативные правовые акты;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статистической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аналитических исследований, произведенных независимыми экспертами, обладающими необходимой квалификацией и опытом, в том числе специально проведенных исследований по проекту;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отраслевых, маркетинговых, финансовых и иных аналитических периодических изданий.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Оценка финансовой эффективности проекта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Проект признается финансово эффективным в соответствии с оценкой финансовой эффективности проекта, если чистая приведенная стоимость проекта больше или равна 0 (ноль) рублей.</w:t>
      </w:r>
    </w:p>
    <w:bookmarkStart w:id="283" w:name="P283"/>
    <w:bookmarkEnd w:id="2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Чистая приведенная стоимость проекта рассчитывается с помощью приведения (дисконтирования) свободных денежных потоков от проекта следующим образом: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1"/>
        </w:rPr>
        <w:drawing>
          <wp:inline distT="0" distB="0" distL="0" distR="0">
            <wp:extent cx="1600200" cy="5486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NPV</w:t>
      </w:r>
      <w:r>
        <w:rPr>
          <w:sz w:val="24"/>
          <w:vertAlign w:val="subscript"/>
        </w:rPr>
        <w:t xml:space="preserve">pp</w:t>
      </w:r>
      <w:r>
        <w:rPr>
          <w:sz w:val="24"/>
        </w:rPr>
        <w:t xml:space="preserve"> - чистая приведенная стоимость проекта, в рублях;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FCFF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свободный денежный поток от проекта в периоде t, в рублях;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</w:t>
      </w:r>
      <w:r>
        <w:rPr>
          <w:sz w:val="24"/>
          <w:vertAlign w:val="subscript"/>
        </w:rPr>
        <w:t xml:space="preserve">pp</w:t>
      </w:r>
      <w:r>
        <w:rPr>
          <w:sz w:val="24"/>
        </w:rPr>
        <w:t xml:space="preserve"> - ставка дисконтирования для частного партнера, в процентах;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период реализации проекта (шаг прогноза в соответствии с </w:t>
      </w:r>
      <w:hyperlink w:history="0" w:anchor="P76" w:tooltip="9.8. Шаг прогноза в финансовой модели на этапе проектирования и создания объекта соглашения должен составлять не более квартала, а на этапе эксплуатации и (или) технического обслуживания объекта соглашения - не более одного года, в случае наличия месячной или квартальной сезонности - не более месяца (квартала) соответственно. На одном листе финансовой модели недопустимо использование расчетных временных периодов разной продолжительности.">
        <w:r>
          <w:rPr>
            <w:sz w:val="24"/>
            <w:color w:val="0000ff"/>
          </w:rPr>
          <w:t xml:space="preserve">пунктом 9.8</w:t>
        </w:r>
      </w:hyperlink>
      <w:r>
        <w:rPr>
          <w:sz w:val="24"/>
        </w:rPr>
        <w:t xml:space="preserve"> Методики);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последний период реализации проекта (шаг прогноза в соответствии с </w:t>
      </w:r>
      <w:hyperlink w:history="0" w:anchor="P76" w:tooltip="9.8. Шаг прогноза в финансовой модели на этапе проектирования и создания объекта соглашения должен составлять не более квартала, а на этапе эксплуатации и (или) технического обслуживания объекта соглашения - не более одного года, в случае наличия месячной или квартальной сезонности - не более месяца (квартала) соответственно. На одном листе финансовой модели недопустимо использование расчетных временных периодов разной продолжительности.">
        <w:r>
          <w:rPr>
            <w:sz w:val="24"/>
            <w:color w:val="0000ff"/>
          </w:rPr>
          <w:t xml:space="preserve">пунктом 9.8</w:t>
        </w:r>
      </w:hyperlink>
      <w:r>
        <w:rPr>
          <w:sz w:val="24"/>
        </w:rPr>
        <w:t xml:space="preserve"> Методики).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Свободный денежный поток от проекта в периоде t, в рублях, рассчитывается с учетом денежных потоков от операционной и инвестиционной деятельности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9"/>
        </w:rPr>
        <w:drawing>
          <wp:inline distT="0" distB="0" distL="0" distR="0">
            <wp:extent cx="4297680" cy="2743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EBIT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прибыль до вычета налога на прибыль организаций и процентов в периоде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Tax - ставка налога на прибыль организаций в периоде t, в процентном выражении;</w:t>
      </w:r>
    </w:p>
    <w:p>
      <w:pPr>
        <w:pStyle w:val="0"/>
        <w:spacing w:before="240" w:lineRule="auto"/>
        <w:ind w:firstLine="540"/>
        <w:jc w:val="both"/>
      </w:pPr>
      <w:r>
        <w:rPr>
          <w:position w:val="-9"/>
        </w:rPr>
        <w:drawing>
          <wp:inline distT="0" distB="0" distL="0" distR="0">
            <wp:extent cx="502920" cy="2743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изменение оборотного капитала в периоде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D&amp;A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амортизация основных средств, нематериальных и финансовых активов в периоде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ICF</w:t>
      </w:r>
      <w:r>
        <w:rPr>
          <w:sz w:val="24"/>
          <w:vertAlign w:val="subscript"/>
        </w:rPr>
        <w:t xml:space="preserve">t</w:t>
      </w:r>
      <w:r>
        <w:rPr>
          <w:sz w:val="24"/>
        </w:rPr>
        <w:t xml:space="preserve"> - денежный поток от инвестиционной деятельности с учетом капитального гранта и иных средств, направляемых на финансирование проекта на безвозмездной основе, в периоде t.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62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bookmarkStart w:id="304" w:name="P304"/>
    <w:bookmarkEnd w:id="3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Ставка дисконтирования, используемая в расчете чистой приведенной стоимости проекта, принимается равной либо превышающей величину доходности к погашению по облигациям федерального займа со сроком, максимально близким к срокам реализации проекта, плюс два с половиной процентных пункта.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Оценка социально-экономического эффекта</w:t>
      </w:r>
    </w:p>
    <w:p>
      <w:pPr>
        <w:pStyle w:val="2"/>
        <w:jc w:val="center"/>
      </w:pPr>
      <w:r>
        <w:rPr>
          <w:sz w:val="24"/>
        </w:rPr>
        <w:t xml:space="preserve">от реализации проекта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Социально-экономический эффект проекта признается достаточным в соответствии с оценкой социально-экономического эффекта проекта, если: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цели и задачи проекта соответствует не менее чем одной цели и (или) задаче государственных (муниципальных) программ;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технико-экономические параметры объекта способствуют достижению не менее чем двух целевых показателей государственных (муниципальных) программ;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подтверждена обоснованность создания объекта соглашения с учетом потребности в производимых товарах (оказываемых услугах) с использованием объекта соглашения.</w:t>
      </w:r>
    </w:p>
    <w:p>
      <w:pPr>
        <w:pStyle w:val="0"/>
        <w:jc w:val="both"/>
      </w:pPr>
      <w:r>
        <w:rPr>
          <w:sz w:val="24"/>
        </w:rPr>
        <w:t xml:space="preserve">(п. 17 в ред. </w:t>
      </w:r>
      <w:hyperlink w:history="0" r:id="rId63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Оценка социально-экономического эффекта от реализации проекта осуществляется следующим образом: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определяются соответствующие проекту по целям, задачам и предмету государственные (муниципальные)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устанавливается качественное соответствие целей, задач и предмета проекта целям, задачам и предмету государственных (муниципальных) программ;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определяются технико-экономические параметры объекта, способствующие достижению целевых показателей государственных (муниципальных) программ;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оценивается обоснованность создания объекта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оценивается влияние реализации проекта на качество жизни в населенном пункте, в котором планируется реализация проекта, - для проектов, в отношении которых ВЭБ.РФ проводится оценка обоснованности распределения рисков в соответствии с </w:t>
      </w:r>
      <w:hyperlink w:history="0" r:id="rId64" w:tooltip="Постановление Правительства РФ от 30.12.2015 N 1514 (ред. от 16.08.2025) &quot;О порядке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вместе с &quot;Правилами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утвержденными постановлением Правительства Российской Федерации от 30 декабря 2015 г. N 1514.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оценки обоснованности создания объекта соглашения рассчитывается коэффициент востребованности товаров (услуг), производимых (оказываемых) с использованием объекта соглашения (T),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T = (S</w:t>
      </w:r>
      <w:r>
        <w:rPr>
          <w:sz w:val="24"/>
          <w:vertAlign w:val="subscript"/>
        </w:rPr>
        <w:t xml:space="preserve">потреб</w:t>
      </w:r>
      <w:r>
        <w:rPr>
          <w:sz w:val="24"/>
        </w:rPr>
        <w:t xml:space="preserve"> / S</w:t>
      </w:r>
      <w:r>
        <w:rPr>
          <w:sz w:val="24"/>
          <w:vertAlign w:val="subscript"/>
        </w:rPr>
        <w:t xml:space="preserve">об</w:t>
      </w:r>
      <w:r>
        <w:rPr>
          <w:sz w:val="24"/>
        </w:rPr>
        <w:t xml:space="preserve">) x 100%,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потреб</w:t>
      </w:r>
      <w:r>
        <w:rPr>
          <w:sz w:val="24"/>
        </w:rPr>
        <w:t xml:space="preserve"> - необеспеченная потребность в товарах (услугах), производство (оказание) которых предполагается с использованием объекта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об</w:t>
      </w:r>
      <w:r>
        <w:rPr>
          <w:sz w:val="24"/>
        </w:rPr>
        <w:t xml:space="preserve"> - объем производимых (оказываемых) товаров (услуг) с использованием объекта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Необеспеченная потребность в товарах (услугах), производство (оказание) которых предполагается с использованием объекта соглашения, определяется на момент ввода в эксплуатацию создаваемого объекта соглашения с учетом уже созданных и создаваемых объектов в данной сфере деятельности и рассчитывается на основании в том числе официальной статистической информации, публикуемой субъектами официального статистического учета, иных данных, находящихся в открытых источниках, а также сведений федеральных органов исполнительной власти, органов исполнительной власти субъектов Российской Федерации, органов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Необеспеченная потребность в товарах (услугах), производство (оказание) которых предполагается с использованием объекта соглашения, и объем производимых (оказываемых) товаров (услуг) с использованием объекта соглашения выражаются в сопоставимых показателях и единицах измерения.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Примерный перечень показателей для расчета необеспеченной потребности в товарах (услугах), производство (оказание) которых предполагается с использованием объекта соглашения, приведен в </w:t>
      </w:r>
      <w:hyperlink w:history="0" w:anchor="P875" w:tooltip="ПРИМЕРНЫЙ ПЕРЕЧЕНЬ">
        <w:r>
          <w:rPr>
            <w:sz w:val="24"/>
            <w:color w:val="0000ff"/>
          </w:rPr>
          <w:t xml:space="preserve">приложении N 8</w:t>
        </w:r>
      </w:hyperlink>
      <w:r>
        <w:rPr>
          <w:sz w:val="24"/>
        </w:rPr>
        <w:t xml:space="preserve"> к Методике.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объекта соглашения считается обоснованным, если значение показателя T составляет 75 и более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влияния реализации проекта на качество жизни в населенном пункте, в котором планируется реализация проекта, осуществляется ВЭБ.РФ.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оценки ВЭБ.РФ влияния реализации проекта на качество жизни в населенном пункте указываются в заключении ВЭБ.РФ по итогам проведения оценки обоснованности распределения рисков проекта в соответствии с </w:t>
      </w:r>
      <w:hyperlink w:history="0" r:id="rId65" w:tooltip="Постановление Правительства РФ от 30.12.2015 N 1514 (ред. от 16.08.2025) &quot;О порядке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вместе с &quot;Правилами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утвержденными постановлением Правительства Российской Федерации от 30 декабря 2015 г. N 1514.</w:t>
      </w:r>
    </w:p>
    <w:p>
      <w:pPr>
        <w:pStyle w:val="0"/>
        <w:jc w:val="both"/>
      </w:pPr>
      <w:r>
        <w:rPr>
          <w:sz w:val="24"/>
        </w:rPr>
        <w:t xml:space="preserve">(п. 18 в ред. </w:t>
      </w:r>
      <w:hyperlink w:history="0" r:id="rId66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Определение сравнительного преимущества проекта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Сравнительное преимущество проекта признается, если выполняется следующее условие: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57"/>
        </w:rPr>
        <w:drawing>
          <wp:inline distT="0" distB="0" distL="0" distR="0">
            <wp:extent cx="2743200" cy="8801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57"/>
        </w:rPr>
        <w:drawing>
          <wp:inline distT="0" distB="0" distL="0" distR="0">
            <wp:extent cx="2743200" cy="8801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vfm</w:t>
      </w:r>
      <w:r>
        <w:rPr>
          <w:sz w:val="24"/>
        </w:rPr>
        <w:t xml:space="preserve"> - коэффициент сравнения преимущества реализации проекта при заключении соглашения или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PBV</w:t>
      </w:r>
      <w:r>
        <w:rPr>
          <w:sz w:val="24"/>
          <w:vertAlign w:val="subscript"/>
        </w:rPr>
        <w:t xml:space="preserve">ppp</w:t>
      </w:r>
      <w:r>
        <w:rPr>
          <w:sz w:val="24"/>
        </w:rPr>
        <w:t xml:space="preserve"> - чистые дисконтированные расходы средств бюджетов бюджетной системы Российской Федерации при реализации проекта, в рублях;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PBV</w:t>
      </w:r>
      <w:r>
        <w:rPr>
          <w:sz w:val="24"/>
          <w:vertAlign w:val="subscript"/>
        </w:rPr>
        <w:t xml:space="preserve">cp</w:t>
      </w:r>
      <w:r>
        <w:rPr>
          <w:sz w:val="24"/>
        </w:rPr>
        <w:t xml:space="preserve"> -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контракта, в рублях;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PRV</w:t>
      </w:r>
      <w:r>
        <w:rPr>
          <w:sz w:val="24"/>
          <w:vertAlign w:val="subscript"/>
        </w:rPr>
        <w:t xml:space="preserve">ppp</w:t>
      </w:r>
      <w:r>
        <w:rPr>
          <w:sz w:val="24"/>
        </w:rPr>
        <w:t xml:space="preserve"> - суммарный объем принимаемых публичным партнером обязательств в случае возникновения рисков при реализации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PRV</w:t>
      </w:r>
      <w:r>
        <w:rPr>
          <w:sz w:val="24"/>
          <w:vertAlign w:val="subscript"/>
        </w:rPr>
        <w:t xml:space="preserve">cp</w:t>
      </w:r>
      <w:r>
        <w:rPr>
          <w:sz w:val="24"/>
        </w:rPr>
        <w:t xml:space="preserve"> -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Для целей определения сравнительного преимущества предполагается, что технико-экономические показатели, сроки, состав и структура мероприятий в отношении объекта, связанные с исполнением условий соглашения (государственного контракта, муниципального контракта), включая проектирование и подготовительные мероприятия, создание, техническое обслуживание и эксплуатацию объекта, не различаются при реализации проекта и при реализации государственного контракта, муниципального контракта.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При определении сравнительного преимущества не учитываются следующие критерии и показатели: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новизна и (или) инновационность применяемых в проекте технологических 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результативность проекта, включая сравнение показателей качества услуг населению;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различия в инструментах управления инвестиционным проектом;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прямые и косвенные внешние эффекты реализации проекта, в том числе влияние на социально-экономическое развитие региона;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сроки поставки населению необходимого объема услуг (объектов инфраструктуры);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расходы и риски, не связанные с расходами средств бюджетов бюджетной системы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Образец представления показателей, используемых для определения сравнительного преимущества проекта, приведена в </w:t>
      </w:r>
      <w:hyperlink w:history="0" w:anchor="P556" w:tooltip="Образец представления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Методике.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Расчет чистых дисконтированных расходов средств бюджетов бюджетной системы Российской Федерации при реализации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23.1. Чистые дисконтированные расходы средств бюджетов бюджетной системы Российской Федерации при реализации проекта рассчитываются следующим образом: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2"/>
        </w:rPr>
        <w:drawing>
          <wp:inline distT="0" distB="0" distL="0" distR="0">
            <wp:extent cx="3851910" cy="5600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PBV</w:t>
      </w:r>
      <w:r>
        <w:rPr>
          <w:sz w:val="24"/>
          <w:vertAlign w:val="subscript"/>
        </w:rPr>
        <w:t xml:space="preserve">ppp</w:t>
      </w:r>
      <w:r>
        <w:rPr>
          <w:sz w:val="24"/>
        </w:rPr>
        <w:t xml:space="preserve"> - чистые дисконтированные расходы средств бюджетов бюджетной системы Российской Федерации при реализации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</w:t>
      </w:r>
      <w:r>
        <w:rPr>
          <w:sz w:val="24"/>
          <w:vertAlign w:val="subscript"/>
        </w:rPr>
        <w:t xml:space="preserve">ppp</w:t>
      </w:r>
      <w:r>
        <w:rPr>
          <w:sz w:val="24"/>
        </w:rPr>
        <w:t xml:space="preserve"> - ставка дисконтирования расходов средств бюджетов бюджетной системы Российской Федерации в годовом исчислении;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год реализации проекта (в качестве первого года принимается год планируемого заключения соглашения);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общее число лет реализации проекта;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5720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создание объекта в году t при реализации проекта;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9276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эксплуатацию и техническое обслуживание объекта, а также компенсацию получения доходов частного партнера от использования объекта при реализации проекта в году t;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7307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при реализации проекта в году t;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5720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прочие расходы средств бюджетов бюджетной системы Российской Федерации при реализации проекта в году t;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2829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поступления в бюджеты бюджетной системы Российской Федерации от проекта в году t.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23.2. Статьи расходов средств бюджетов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проекта, указаны в </w:t>
      </w:r>
      <w:hyperlink w:history="0" w:anchor="P635" w:tooltip="СТАТЬИ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Методике.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23.3. Статьи поступлений в бюджеты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проекта указаны в </w:t>
      </w:r>
      <w:hyperlink w:history="0" w:anchor="P672" w:tooltip="СТАТЬИ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Методике.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Расчет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контракта.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24.1.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 рассчитываются следующим образом: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2"/>
        </w:rPr>
        <w:drawing>
          <wp:inline distT="0" distB="0" distL="0" distR="0">
            <wp:extent cx="3246120" cy="5600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PBV</w:t>
      </w:r>
      <w:r>
        <w:rPr>
          <w:sz w:val="24"/>
          <w:vertAlign w:val="subscript"/>
        </w:rPr>
        <w:t xml:space="preserve">cp</w:t>
      </w:r>
      <w:r>
        <w:rPr>
          <w:sz w:val="24"/>
        </w:rPr>
        <w:t xml:space="preserve"> -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 в году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</w:t>
      </w:r>
      <w:r>
        <w:rPr>
          <w:sz w:val="24"/>
          <w:vertAlign w:val="subscript"/>
        </w:rPr>
        <w:t xml:space="preserve">ср</w:t>
      </w:r>
      <w:r>
        <w:rPr>
          <w:sz w:val="24"/>
        </w:rPr>
        <w:t xml:space="preserve"> - ставка дисконтирования средств бюджетов бюджетной системы Российской Федерации в годовом исчислении;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год реализации государственного контракта, муниципального контракта (в качестве первого года принимается год планируемого заключения соглашения);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общее число лет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2004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создание объекта в году t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733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эксплуатацию и техническое обслуживание объекта в году t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2829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в году t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2004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прочие расходы средств бюджетов бюджетной системы Российской Федерации в году t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7432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поступления в бюджеты от использования объекта в году t при реализации государственного контракта, муниципального контракта.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24.2. Для целей Методики расходы средств бюджетов бюджетной системы Российской Федерации на создание объекта при реализации государственного контракта, муниципального контракта принимаются равными расходам на создание объекта при реализации проекта в соответствии с данными финансовой модели.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24.3. Для целей Методики расходы средств бюджетов бюджетной системы Российской Федерации на эксплуатацию и (или) техническое обслуживание объекта при реализации государственного контракта, муниципального контракта принимаются равными расходам на эксплуатацию и (или) техническое обслуживание объекта при реализации проекта в соответствии с данными финансовой модели без учета амортизационных отчислений.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24.4. Статьи расходов средств бюджетов бюджетной системы Российской Федерации, учитываемые при расчете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контракта, указаны в </w:t>
      </w:r>
      <w:hyperlink w:history="0" w:anchor="P709" w:tooltip="СТАТЬИ">
        <w:r>
          <w:rPr>
            <w:sz w:val="24"/>
            <w:color w:val="0000ff"/>
          </w:rPr>
          <w:t xml:space="preserve">приложении N 4</w:t>
        </w:r>
      </w:hyperlink>
      <w:r>
        <w:rPr>
          <w:sz w:val="24"/>
        </w:rPr>
        <w:t xml:space="preserve"> к Методике.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24.5. Статьи поступлений в бюджеты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контракта, относятся виды поступлений, указанные в </w:t>
      </w:r>
      <w:hyperlink w:history="0" w:anchor="P749" w:tooltip="СТАТЬИ">
        <w:r>
          <w:rPr>
            <w:sz w:val="24"/>
            <w:color w:val="0000ff"/>
          </w:rPr>
          <w:t xml:space="preserve">приложении N 5</w:t>
        </w:r>
      </w:hyperlink>
      <w:r>
        <w:rPr>
          <w:sz w:val="24"/>
        </w:rPr>
        <w:t xml:space="preserve"> к Методике.</w:t>
      </w:r>
    </w:p>
    <w:bookmarkStart w:id="400" w:name="P400"/>
    <w:bookmarkEnd w:id="4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Расчет ставки дисконтирования расходов средств бюджетов бюджетной системы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25.1. Ставка дисконтирования расходов и поступлений средств бюджетов бюджетной системы Российской Федерации при реализации проекта определяется следующим образом: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03"/>
        </w:rPr>
        <w:drawing>
          <wp:inline distT="0" distB="0" distL="0" distR="0">
            <wp:extent cx="3291840" cy="14630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</w:t>
      </w:r>
      <w:r>
        <w:rPr>
          <w:sz w:val="24"/>
          <w:vertAlign w:val="subscript"/>
        </w:rPr>
        <w:t xml:space="preserve">ppp</w:t>
      </w:r>
      <w:r>
        <w:rPr>
          <w:sz w:val="24"/>
        </w:rP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</w:t>
      </w:r>
      <w:r>
        <w:rPr>
          <w:sz w:val="24"/>
          <w:vertAlign w:val="subscript"/>
        </w:rPr>
        <w:t xml:space="preserve">fb</w:t>
      </w:r>
      <w:r>
        <w:rPr>
          <w:sz w:val="24"/>
        </w:rPr>
        <w:t xml:space="preserve"> - доходность к погашению по облигациям федерального займа со сроком обращения, сопоставимым со сроком реализации проекта, в годовом исчислении, определяемая на дату проведения определения сравнительного преимущества;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</w:t>
      </w:r>
      <w:r>
        <w:rPr>
          <w:sz w:val="24"/>
          <w:vertAlign w:val="subscript"/>
        </w:rPr>
        <w:t xml:space="preserve">rb</w:t>
      </w:r>
      <w:r>
        <w:rPr>
          <w:sz w:val="24"/>
        </w:rPr>
        <w:t xml:space="preserve"> - доходность к погашению по облигациям субъекта Российской Федерации, на территории которого будет реализоваться проект, со сроком обращения, сопоставимым со сроком реализации проекта (в годовом исчислении), определяемая на дату проведения определения сравнительного преимущества. В случае отсутствия облигационных заимствований у субъекта Российской Федерации, на территории которого будет реализовываться проект, используется доходность к погашению по облигациям федерального займа;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4511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средневзвешенная процентная ставка по заимствованиям от финансовых организаций (кредиты и облигационные займы), привлекаемым (планируемым к привлечению) публичным партнером для исполнения своих обязательств по проекту, в годовом исчислении, определяемая на дату проведения сравнительного преимущества. Для целей определения данной процентной ставки, в случае отсутствия информации об индикативной ставке по кредиту (доходности к погашению по облигационному выпуску), должны использоваться данные по существующим кредитам (облигационным займам) со сроком обращения (погашения), сопоставимым со сроком проекта;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6543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средств бюджета Российской Федерации, привлекаемых для реализации проекта, в рублях;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6543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средств бюджетов субъекта Российской Федерации и муниципального образования, используемых для реализации проекта, в рублях;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6543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средств, привлекаемых публичным партнером для исполнения своих обязательств по проекту, посредством заимствований финансовых организаций и иных внешних источников, включая кредитные организации, в рублях;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272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расходов средств бюджетов бюджетной системы Российской Федерации по проекту, в рублях.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25.2. Если необходимость осуществления расходов средств бюджетов бюджетной системы Российской Федерации на создание и (или) эксплуатацию и (или) техническое обслуживание объекта при реализации проекта отсутствует, то ставка дисконтирования расходов и поступлений средств бюджетов бюджетной системы Российской Федерации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60"/>
        </w:rPr>
        <w:drawing>
          <wp:inline distT="0" distB="0" distL="0" distR="0">
            <wp:extent cx="3291840" cy="9144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</w:t>
      </w:r>
      <w:r>
        <w:rPr>
          <w:sz w:val="24"/>
          <w:vertAlign w:val="subscript"/>
        </w:rPr>
        <w:t xml:space="preserve">ppp</w:t>
      </w:r>
      <w:r>
        <w:rPr>
          <w:sz w:val="24"/>
        </w:rP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6543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поступлений в бюджет Российской Федерации в течение срока реализации проекта, в рублях;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6543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поступлений в бюджеты субъекта Российской Федерации и муниципального образования в течение срока реализации проекта, в рублях;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272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поступлений в бюджеты бюджетной системы Российской Федерации при реализации проекта, в рублях.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25.3.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 определяется следующим образом: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03"/>
        </w:rPr>
        <w:drawing>
          <wp:inline distT="0" distB="0" distL="0" distR="0">
            <wp:extent cx="3280410" cy="14630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1272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контракта, в годовом исчислении;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6543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средневзвешенная процентная ставка по заимствованиям от финансовых организаций (кредиты и облигационные займы), привлекаемым (планируемым к привлечению) публичным партнером для исполнения своих обязательств при реализации государственного контракта, муниципального контракта (в годовом исчислении), определяемая на дату проведения сравнительного преимущества. Для целей определения данной процентной ставки, в случае отсутствия информации об индикативной ставке по кредиту (доходности к погашению по облигационному выпуску), должны использоваться данные по существующим кредитам (облигационным займам) со сроком обращения (погашения), сопоставимым со сроком проекта;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7432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средств бюджета Российской Федерации, привлекаемых при реализации государственного контракта, муниципального контракта, в рублях;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7432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средств бюджетов субъекта Российской Федерации и муниципального образования, привлекаемых при реализации государственного контракта, муниципального контракта, в рублях;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7432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средств, привлекаемых при реализации государственного контракта, муниципального контракта, посредством заимствований финансовых организаций и иных внешних источников, включая кредитные организации, в рублях;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2860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сумма расходов средств бюджетов бюджетной системы Российской Федерации при реализации государственного контракта, муниципального контракта, в рублях.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25.4. Структура привлекаемых средств бюджетов бюджетной системы Российской Федерации и финансовых организаций (иных внешних источников, включая кредитные организации) для покрытия расходов средств бюджетов бюджетной системы Российской Федерации при расчете ставки дисконтирования расходов и поступлений средств бюджетов бюджетной системы Российской Федерации при реализации проекта и при реализации государственного контракта, муниципального контракта может различаться и должна определяться в соответствии с нормативной правовой базой, а также допустимыми размерами расходных обязательств и долговой устойчивости бюджетов бюджетной системы Российской Федерации по состоянию на год планируемого заключения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25.5. В случае если финансирование расходов бюджета при реализации государственного контракта, муниципального контракта за счет привлечения средств бюджетов бюджетной системы Российской Федерации и (или) выпуска долговых обязательств, включая привлечение кредитных средств, невозможно, то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 равна ставке дисконтирования для частного партнера (r</w:t>
      </w:r>
      <w:r>
        <w:rPr>
          <w:sz w:val="24"/>
          <w:vertAlign w:val="subscript"/>
        </w:rPr>
        <w:t xml:space="preserve">pp</w:t>
      </w:r>
      <w:r>
        <w:rPr>
          <w:sz w:val="24"/>
        </w:rPr>
        <w:t xml:space="preserve">), используемой в расчете чистой приведенной стоимости проекта в соответствии с </w:t>
      </w:r>
      <w:hyperlink w:history="0" w:anchor="P283" w:tooltip="15. Чистая приведенная стоимость проекта рассчитывается с помощью приведения (дисконтирования) свободных денежных потоков от проекта следующим образом:">
        <w:r>
          <w:rPr>
            <w:sz w:val="24"/>
            <w:color w:val="0000ff"/>
          </w:rPr>
          <w:t xml:space="preserve">пунктами 15</w:t>
        </w:r>
      </w:hyperlink>
      <w:r>
        <w:rPr>
          <w:sz w:val="24"/>
        </w:rPr>
        <w:t xml:space="preserve"> - </w:t>
      </w:r>
      <w:hyperlink w:history="0" w:anchor="P304" w:tooltip="16. Ставка дисконтирования, используемая в расчете чистой приведенной стоимости проекта, принимается равной либо превышающей величину доходности к погашению по облигациям федерального займа со сроком, максимально близким к срокам реализации проекта, плюс два с половиной процентных пункта.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Методики.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Расчет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обязательства при реализации государственного контракта, муниципального контракта.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26.1. Суммарный объем принимаемых публичным партнером обязательств в случае возникновения рисков при реализации проекта оценивается следующим образом: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2"/>
        </w:rPr>
        <w:drawing>
          <wp:inline distT="0" distB="0" distL="0" distR="0">
            <wp:extent cx="4286250" cy="56578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PRV</w:t>
      </w:r>
      <w:r>
        <w:rPr>
          <w:sz w:val="24"/>
          <w:vertAlign w:val="subscript"/>
        </w:rPr>
        <w:t xml:space="preserve">ppp</w:t>
      </w:r>
      <w:r>
        <w:rPr>
          <w:sz w:val="24"/>
        </w:rPr>
        <w:t xml:space="preserve"> - объем принимаемых публичным партнером обязательств в случае возникновения рисков при реализации проекта, в рублях;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</w:t>
      </w:r>
      <w:r>
        <w:rPr>
          <w:sz w:val="24"/>
          <w:vertAlign w:val="subscript"/>
        </w:rPr>
        <w:t xml:space="preserve">ppp</w:t>
      </w:r>
      <w:r>
        <w:rPr>
          <w:sz w:val="24"/>
        </w:rP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год реализации проекта (в качестве первого года принимается год планируемого заключения соглашения);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общее число лет реализации проекта;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9657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принимаемых публичным партнером обязательств в случае возникновения рисков подготовительных и проектировочных мероприятий по проекту в году t;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9657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принимаемых публичным партнером обязательств в случае возникновения рисков создания объекта при реализации проекта в году t;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54229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принимаемых публичным партнером обязательств в случае возникновения рисков эксплуатации и технического обслуживания объекта при реализации проекта в году t;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5021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принимаемых публичным партнером обязательств в случае возникновения рисков получения доходов от использования объекта при реализации проекта в году t;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7307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принимаемых публичным партнером обязательств в случае возникновения прочих рисков при реализации проекта в году t.</w:t>
      </w:r>
    </w:p>
    <w:bookmarkStart w:id="451" w:name="P451"/>
    <w:bookmarkEnd w:id="4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26.2. Объем принимаемых публичным партнером обязательств в случае возникновения рисков при реализации проекта оценивается следующим образом: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для рисков подготовительных и проектировочных мероприятий в году t: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65735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D</w:t>
      </w:r>
      <w:r>
        <w:rPr>
          <w:sz w:val="24"/>
        </w:rPr>
        <w:t xml:space="preserve"> - вероятное отклонение расходов средств бюджетов бюджетной системы Российской Федерации на подготовительные мероприятия и проектирование;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5720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подготовительные мероприятия и проектирование по проекту, учитываемые при расчете объема принимаемых публичным партнером обязательств в случае возникновения рисков, в году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для рисков создания объекта в периоде t: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63449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B</w:t>
      </w:r>
      <w:r>
        <w:rPr>
          <w:sz w:val="24"/>
        </w:rPr>
        <w:t xml:space="preserve"> - вероятное отклонение расходов средств бюджетов бюджетной системы Российской Федерации на создание объекта;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5021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создание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для рисков эксплуатации объекта в году t: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77165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M</w:t>
      </w:r>
      <w:r>
        <w:rPr>
          <w:sz w:val="24"/>
        </w:rPr>
        <w:t xml:space="preserve"> - вероятное отклонение расходов средств бюджетов бюджетной системы Российской Федерации на эксплуатацию и техническое обслуживание объекта;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9657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эксплуатацию и техническое обслуживание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для рисков получения доходов от использования объекта в году t: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3"/>
        </w:rPr>
        <w:drawing>
          <wp:inline distT="0" distB="0" distL="0" distR="0">
            <wp:extent cx="1428750" cy="3200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вероятное отклонение поступлений в бюджеты от использования объекта;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3"/>
        </w:rPr>
        <w:drawing>
          <wp:inline distT="0" distB="0" distL="0" distR="0">
            <wp:extent cx="403860" cy="3200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поступления в бюджеты бюджетной системы Российской Федерации от использования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для прочих рисков в периоде t: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54305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C</w:t>
      </w:r>
      <w:r>
        <w:rPr>
          <w:sz w:val="24"/>
        </w:rPr>
        <w:t xml:space="preserve"> - вероятное отклонение прочих расходов средств бюджетов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5021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прочие расходы средств бюджетов бюджетной системы Российской Федерации, учитываемые при расчете объема принимаемых публичным партнером обязательств в случае возникновения рисков, в году t.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26.3. Расходы средств бюджетов и поступления в бюджеты бюджетной системы Российской Федерации от использования объекта при реализации проекта, учитываемые при расчете объема принимаемых публичным партнером обязательств в случае возникновения рисков, приведены в </w:t>
      </w:r>
      <w:hyperlink w:history="0" w:anchor="P780" w:tooltip="СТАТЬИ">
        <w:r>
          <w:rPr>
            <w:sz w:val="24"/>
            <w:color w:val="0000ff"/>
          </w:rPr>
          <w:t xml:space="preserve">приложении N 6</w:t>
        </w:r>
      </w:hyperlink>
      <w:r>
        <w:rPr>
          <w:sz w:val="24"/>
        </w:rPr>
        <w:t xml:space="preserve"> к Методике. При наличии обусловленного исполнения обязательств публичным партнером, возникающих при реализации проекта в отношении расходов на проектирование и подготовительные мероприятия, создание, эксплуатацию и техническое обслуживание объекта и прочих расходов, а также компенсацию получения доходов частного партнера от использования объекта, предполагаемые расходы средств бюджетов бюджетной системы Российской Федерации, связанные с исполнением таких обязательств, должны быть включены в полном объеме в сумму соответствующих расходов средств бюджетов бюджетной системы Российской Федерации, учитываемых при расчете объема принимаемых публичным партнером обязательств в случае возникновения рисков.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Расходы средств бюджетов бюджетной системы Российской Федерации, связанные с исполнением обязательств, указанных в настоящем пункте, могут быть уменьшены с учетом распределения рисков между публичным партнером и инициатором проекта в проекте соглашения.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8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21.08.2025 N 543)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26.4. Для целей Методики вероятные отклонения расходов и поступлений средств бюджетов бюджетной системы Российской Федерации, учитываемые при расчете объема принимаемых публичным партнером обязательств в случае возникновения рисков при реализации проекта в соответствии с </w:t>
      </w:r>
      <w:hyperlink w:history="0" w:anchor="P451" w:tooltip="26.2. Объем принимаемых публичным партнером обязательств в случае возникновения рисков при реализации проекта оценивается следующим образом:">
        <w:r>
          <w:rPr>
            <w:sz w:val="24"/>
            <w:color w:val="0000ff"/>
          </w:rPr>
          <w:t xml:space="preserve">пунктом 26.2</w:t>
        </w:r>
      </w:hyperlink>
      <w:r>
        <w:rPr>
          <w:sz w:val="24"/>
        </w:rPr>
        <w:t xml:space="preserve"> Методики и объема принимаемых таким публично-правовым образованием обязательства при реализации государственного контракта, муниципального контракта в соответствии с </w:t>
      </w:r>
      <w:hyperlink w:history="0" w:anchor="P506" w:tooltip="26.7. Объем принимаемых публично-правовым образованием обязательств в случае возникновения рисков при реализации государственного, муниципального контракта оценивается следующим образом:">
        <w:r>
          <w:rPr>
            <w:sz w:val="24"/>
            <w:color w:val="0000ff"/>
          </w:rPr>
          <w:t xml:space="preserve">пунктом 26.7</w:t>
        </w:r>
      </w:hyperlink>
      <w:r>
        <w:rPr>
          <w:sz w:val="24"/>
        </w:rPr>
        <w:t xml:space="preserve"> Методики, имеют равные 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26.5. Допустимые значения вероятных отклонений, учитываемых при расчете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обязательства при реализации государственного контракта, муниципального контракта, приведены в </w:t>
      </w:r>
      <w:hyperlink w:history="0" w:anchor="P832" w:tooltip="ДОПУСТИМЫЕ ЗНАЧЕНИЯ">
        <w:r>
          <w:rPr>
            <w:sz w:val="24"/>
            <w:color w:val="0000ff"/>
          </w:rPr>
          <w:t xml:space="preserve">приложении N 7</w:t>
        </w:r>
      </w:hyperlink>
      <w:r>
        <w:rPr>
          <w:sz w:val="24"/>
        </w:rPr>
        <w:t xml:space="preserve"> к Методике.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26.6.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контракта, приведенный к базовому году, оценивается следующим образом: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2"/>
        </w:rPr>
        <w:drawing>
          <wp:inline distT="0" distB="0" distL="0" distR="0">
            <wp:extent cx="3920490" cy="56578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PRV</w:t>
      </w:r>
      <w:r>
        <w:rPr>
          <w:sz w:val="24"/>
          <w:vertAlign w:val="subscript"/>
        </w:rPr>
        <w:t xml:space="preserve">cp</w:t>
      </w:r>
      <w:r>
        <w:rPr>
          <w:sz w:val="24"/>
        </w:rPr>
        <w:t xml:space="preserve"> -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контракта, в рублях;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</w:t>
      </w:r>
      <w:r>
        <w:rPr>
          <w:sz w:val="24"/>
          <w:vertAlign w:val="subscript"/>
        </w:rPr>
        <w:t xml:space="preserve">cp</w:t>
      </w:r>
      <w:r>
        <w:rPr>
          <w:sz w:val="24"/>
        </w:rPr>
        <w:t xml:space="preserve"> -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контракта, в годовом исчислении;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год реализации государственного контракта, муниципального контракта (в качестве первого года принимается год планируемого заключения соглашения);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общее число лет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4386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принимаемых публично-правовым образованием обязательств в случае возникновения рисков подготовительных и проектировочных мероприятий в году t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4386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принимаемых публично-правовым образованием обязательств в случае возникновения рисков создания объекта в году t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7307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принимаемых публично-правовым образованием обязательств в случае возникновения рисков эксплуатации и технического обслуживания объекта при в году t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733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принимаемых публично-правовым образованием обязательств в случае возникновения рисков получения доходов от использования объекта при реализации государственного контракта, муниципального контракта в году t;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4114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объем принимаемых публично-правовым образованием обязательств в случае возникновения прочих рисков при реализации государственного контракта, муниципального контракта в году t.</w:t>
      </w:r>
    </w:p>
    <w:bookmarkStart w:id="506" w:name="P506"/>
    <w:bookmarkEnd w:id="5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26.7. Объем принимаемых публично-правовым образованием обязательств в случае возникновения рисков при реализации государственного, муниципального контракта оценивается следующим образом: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для рисков подготовительных и проектировочных мероприятий в периоде t: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41732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D</w:t>
      </w:r>
      <w:r>
        <w:rPr>
          <w:sz w:val="24"/>
        </w:rPr>
        <w:t xml:space="preserve"> - вероятное отклонение расходов средств бюджетов бюджетной системы Российской Федерации на подготовительные мероприятия и проектирование;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2829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в году t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для рисков создания объекта в периоде t: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37160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B</w:t>
      </w:r>
      <w:r>
        <w:rPr>
          <w:sz w:val="24"/>
        </w:rPr>
        <w:t xml:space="preserve"> - вероятное отклонение расходов средств бюджетов бюджетной системы Российской Федерации на создание объекта;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2004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создание объекта в году t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для рисков эксплуатации объекта в периоде t: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49733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M</w:t>
      </w:r>
      <w:r>
        <w:rPr>
          <w:sz w:val="24"/>
        </w:rPr>
        <w:t xml:space="preserve"> - вероятное отклонение расходов средств бюджетов бюджетной системы Российской Федерации на эксплуатацию и техническое обслуживание объекта;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733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расходы средств бюджетов бюджетной системы Российской Федерации на эксплуатацию и техническое обслуживание объекта в году t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для рисков получения доходов от использования объекта в периоде t: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23444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вероятное отклонение поступлений в бюджеты от использования объекта;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27432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поступления в бюджеты бюджетной системы Российской Федерации от использования объекта в году t при реализации государственного контракта, муниципального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для прочих рисков в периоде t: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38303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C</w:t>
      </w:r>
      <w:r>
        <w:rPr>
          <w:sz w:val="24"/>
        </w:rPr>
        <w:t xml:space="preserve"> - вероятное отклонение прочих расходов средств бюджетов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2004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прочие расходы средств бюджетов бюджетной системы Российской Федерации при реализации государственного контракта, муниципального контракта в году t.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Методике оценки эффективности проекта</w:t>
      </w:r>
    </w:p>
    <w:p>
      <w:pPr>
        <w:pStyle w:val="0"/>
        <w:jc w:val="right"/>
      </w:pPr>
      <w:r>
        <w:rPr>
          <w:sz w:val="24"/>
        </w:rPr>
        <w:t xml:space="preserve">государственно-частного партнерства,</w:t>
      </w:r>
    </w:p>
    <w:p>
      <w:pPr>
        <w:pStyle w:val="0"/>
        <w:jc w:val="right"/>
      </w:pPr>
      <w:r>
        <w:rPr>
          <w:sz w:val="24"/>
        </w:rPr>
        <w:t xml:space="preserve">проекта муниципально-частного партнерства</w:t>
      </w:r>
    </w:p>
    <w:p>
      <w:pPr>
        <w:pStyle w:val="0"/>
        <w:jc w:val="right"/>
      </w:pPr>
      <w:r>
        <w:rPr>
          <w:sz w:val="24"/>
        </w:rPr>
        <w:t xml:space="preserve">и определения их сравнительного</w:t>
      </w:r>
    </w:p>
    <w:p>
      <w:pPr>
        <w:pStyle w:val="0"/>
        <w:jc w:val="right"/>
      </w:pPr>
      <w:r>
        <w:rPr>
          <w:sz w:val="24"/>
        </w:rPr>
        <w:t xml:space="preserve">преимущества, утвержденной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30.11.2015 N 894</w:t>
      </w:r>
    </w:p>
    <w:p>
      <w:pPr>
        <w:pStyle w:val="0"/>
        <w:jc w:val="both"/>
      </w:pPr>
      <w:r>
        <w:rPr>
          <w:sz w:val="24"/>
        </w:rPr>
      </w:r>
    </w:p>
    <w:bookmarkStart w:id="556" w:name="P556"/>
    <w:bookmarkEnd w:id="556"/>
    <w:p>
      <w:pPr>
        <w:pStyle w:val="0"/>
        <w:jc w:val="center"/>
      </w:pPr>
      <w:r>
        <w:rPr>
          <w:sz w:val="24"/>
        </w:rPr>
        <w:t xml:space="preserve">Образец представления</w:t>
      </w:r>
    </w:p>
    <w:p>
      <w:pPr>
        <w:pStyle w:val="0"/>
        <w:jc w:val="center"/>
      </w:pPr>
      <w:r>
        <w:rPr>
          <w:sz w:val="24"/>
        </w:rPr>
        <w:t xml:space="preserve">показателей, используемых для определения сравнительного</w:t>
      </w:r>
    </w:p>
    <w:p>
      <w:pPr>
        <w:pStyle w:val="0"/>
        <w:jc w:val="center"/>
      </w:pPr>
      <w:r>
        <w:rPr>
          <w:sz w:val="24"/>
        </w:rPr>
        <w:t xml:space="preserve">преимущества проекта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0"/>
        <w:gridCol w:w="3250"/>
        <w:gridCol w:w="2268"/>
        <w:gridCol w:w="3061"/>
      </w:tblGrid>
      <w:tr>
        <w:tc>
          <w:tcPr>
            <w:tcW w:w="4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2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реализации проекта государственно-частного партнерства, проекта муниципально-частного партнерства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 реализации государственного контракта, муниципального контракта (при реализации государственного контракта, муниципального контракта)</w:t>
            </w:r>
          </w:p>
        </w:tc>
      </w:tr>
      <w:tr>
        <w:tc>
          <w:tcPr>
            <w:tcW w:w="4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2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Чистые дисконтированные расходы средств бюджетов бюджетной системы Российской Федерации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создание объекта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эксплуатацию и техническое обслуживание объекта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проектирование и подготовительные мероприятия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расходы средств бюджетов бюджетной системы Российской Федерации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Поступления в бюджеты бюджетной системы Российской Федерации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Ставка дисконтирования расходов и поступлений средств бюджетов бюджетной системы Российской Федерации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49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470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2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Риски создания объекта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Риски проектирования и подготовительных мероприятий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Риски эксплуатации объекта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Риски получения доходов от использования объекта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риски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3250" w:type="dxa"/>
          </w:tcPr>
          <w:p>
            <w:pPr>
              <w:pStyle w:val="0"/>
            </w:pPr>
            <w:r>
              <w:rPr>
                <w:sz w:val="24"/>
              </w:rPr>
              <w:t xml:space="preserve">Коэффициент сравнительного преимущества</w:t>
            </w:r>
          </w:p>
        </w:tc>
        <w:tc>
          <w:tcPr>
            <w:gridSpan w:val="2"/>
            <w:tcW w:w="5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Методике оценки эффективности проекта</w:t>
      </w:r>
    </w:p>
    <w:p>
      <w:pPr>
        <w:pStyle w:val="0"/>
        <w:jc w:val="right"/>
      </w:pPr>
      <w:r>
        <w:rPr>
          <w:sz w:val="24"/>
        </w:rPr>
        <w:t xml:space="preserve">государственно-частного партнерства,</w:t>
      </w:r>
    </w:p>
    <w:p>
      <w:pPr>
        <w:pStyle w:val="0"/>
        <w:jc w:val="right"/>
      </w:pPr>
      <w:r>
        <w:rPr>
          <w:sz w:val="24"/>
        </w:rPr>
        <w:t xml:space="preserve">проекта муниципально-частного партнерства</w:t>
      </w:r>
    </w:p>
    <w:p>
      <w:pPr>
        <w:pStyle w:val="0"/>
        <w:jc w:val="right"/>
      </w:pPr>
      <w:r>
        <w:rPr>
          <w:sz w:val="24"/>
        </w:rPr>
        <w:t xml:space="preserve">и определения их сравнительного</w:t>
      </w:r>
    </w:p>
    <w:p>
      <w:pPr>
        <w:pStyle w:val="0"/>
        <w:jc w:val="right"/>
      </w:pPr>
      <w:r>
        <w:rPr>
          <w:sz w:val="24"/>
        </w:rPr>
        <w:t xml:space="preserve">преимущества, утвержденной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30.11.2015 N 894</w:t>
      </w:r>
    </w:p>
    <w:p>
      <w:pPr>
        <w:pStyle w:val="0"/>
        <w:jc w:val="both"/>
      </w:pPr>
      <w:r>
        <w:rPr>
          <w:sz w:val="24"/>
        </w:rPr>
      </w:r>
    </w:p>
    <w:bookmarkStart w:id="635" w:name="P635"/>
    <w:bookmarkEnd w:id="635"/>
    <w:p>
      <w:pPr>
        <w:pStyle w:val="2"/>
        <w:jc w:val="center"/>
      </w:pPr>
      <w:r>
        <w:rPr>
          <w:sz w:val="24"/>
        </w:rPr>
        <w:t xml:space="preserve">СТАТЬИ</w:t>
      </w:r>
    </w:p>
    <w:p>
      <w:pPr>
        <w:pStyle w:val="2"/>
        <w:jc w:val="center"/>
      </w:pPr>
      <w:r>
        <w:rPr>
          <w:sz w:val="24"/>
        </w:rPr>
        <w:t xml:space="preserve">РАСХОДОВ СРЕДСТВ БЮДЖЕТОВ БЮДЖЕТНОЙ СИСТЕМЫ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ПРИ РЕАЛИЗАЦИИ ПРОЕКТА, УЧИТЫВАЕМЫХ</w:t>
      </w:r>
    </w:p>
    <w:p>
      <w:pPr>
        <w:pStyle w:val="2"/>
        <w:jc w:val="center"/>
      </w:pPr>
      <w:r>
        <w:rPr>
          <w:sz w:val="24"/>
        </w:rPr>
        <w:t xml:space="preserve">ПРИ ОПРЕДЕЛЕНИИ СРАВНИТЕЛЬНОГО ПРЕИМУЩЕСТВА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5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Минэкономразвития России от 21.08.2025 N 543)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2"/>
        <w:gridCol w:w="3855"/>
        <w:gridCol w:w="4649"/>
      </w:tblGrid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расходов средств бюджетов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Статьи расходов средств бюджетов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создание объекта при реализации проекта</w:t>
            </w:r>
          </w:p>
        </w:tc>
        <w:tc>
          <w:tcPr>
            <w:tcW w:w="464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Софинансирование расходов на строительство, реконструкцию, техническое перевооружение объекта соглашения за счет средств бюджетов бюджетной системы Российской Федерации</w:t>
            </w:r>
          </w:p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эксплуатацию и техническое обслуживание объекта при реализации проекта</w:t>
            </w:r>
          </w:p>
        </w:tc>
        <w:tc>
          <w:tcPr>
            <w:tcW w:w="464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Финансирование расходов на эксплуатацию и (или) техническое обслуживание объекта соглашения за счет средств бюджетов бюджетной системы Российской Федерации</w:t>
            </w:r>
          </w:p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проектирование и подготовительные мероприятия при реализации проекта</w:t>
            </w:r>
          </w:p>
        </w:tc>
        <w:tc>
          <w:tcPr>
            <w:tcW w:w="464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Финансирование за счет средств бюджетов бюджетной системы Российской Федерации расходов на подготовку проектно-сметной и рабочей документации для создания (капитального строительства реконструкции, технического перевооружения) объекта соглашения.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Финансирование за счет средств бюджетов бюджетной системы Российской Федерации расходов на подготовительные мероприятия в отношении земельных участков для размещения объекта соглашения</w:t>
            </w:r>
          </w:p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Прочие расходы средств бюджетов бюджетной системы Российской Федерации при реализации проекта</w:t>
            </w:r>
          </w:p>
        </w:tc>
        <w:tc>
          <w:tcPr>
            <w:tcW w:w="464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Иные расходы средств бюджетов бюджетной системы Российской Федерации при реализации проекта (включая возмещение сумм по налогу на добавленную стоимость)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Методике оценки эффективности проекта</w:t>
      </w:r>
    </w:p>
    <w:p>
      <w:pPr>
        <w:pStyle w:val="0"/>
        <w:jc w:val="right"/>
      </w:pPr>
      <w:r>
        <w:rPr>
          <w:sz w:val="24"/>
        </w:rPr>
        <w:t xml:space="preserve">государственно-частного партнерства,</w:t>
      </w:r>
    </w:p>
    <w:p>
      <w:pPr>
        <w:pStyle w:val="0"/>
        <w:jc w:val="right"/>
      </w:pPr>
      <w:r>
        <w:rPr>
          <w:sz w:val="24"/>
        </w:rPr>
        <w:t xml:space="preserve">проекта муниципально-частного партнерства</w:t>
      </w:r>
    </w:p>
    <w:p>
      <w:pPr>
        <w:pStyle w:val="0"/>
        <w:jc w:val="right"/>
      </w:pPr>
      <w:r>
        <w:rPr>
          <w:sz w:val="24"/>
        </w:rPr>
        <w:t xml:space="preserve">и определения их сравнительного</w:t>
      </w:r>
    </w:p>
    <w:p>
      <w:pPr>
        <w:pStyle w:val="0"/>
        <w:jc w:val="right"/>
      </w:pPr>
      <w:r>
        <w:rPr>
          <w:sz w:val="24"/>
        </w:rPr>
        <w:t xml:space="preserve">преимущества, утвержденной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30.11.2015 N 894</w:t>
      </w:r>
    </w:p>
    <w:p>
      <w:pPr>
        <w:pStyle w:val="0"/>
        <w:jc w:val="both"/>
      </w:pPr>
      <w:r>
        <w:rPr>
          <w:sz w:val="24"/>
        </w:rPr>
      </w:r>
    </w:p>
    <w:bookmarkStart w:id="672" w:name="P672"/>
    <w:bookmarkEnd w:id="672"/>
    <w:p>
      <w:pPr>
        <w:pStyle w:val="2"/>
        <w:jc w:val="center"/>
      </w:pPr>
      <w:r>
        <w:rPr>
          <w:sz w:val="24"/>
        </w:rPr>
        <w:t xml:space="preserve">СТАТЬИ</w:t>
      </w:r>
    </w:p>
    <w:p>
      <w:pPr>
        <w:pStyle w:val="2"/>
        <w:jc w:val="center"/>
      </w:pPr>
      <w:r>
        <w:rPr>
          <w:sz w:val="24"/>
        </w:rPr>
        <w:t xml:space="preserve">ПОСТУПЛЕНИЙ В БЮДЖЕТЫ БЮДЖЕТНОЙ СИСТЕМЫ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ПРИ РЕАЛИЗАЦИИ ПРОЕКТА, УЧИТЫВАЕМЫЕ ПРИ ОПРЕДЕЛЕНИИ</w:t>
      </w:r>
    </w:p>
    <w:p>
      <w:pPr>
        <w:pStyle w:val="2"/>
        <w:jc w:val="center"/>
      </w:pPr>
      <w:r>
        <w:rPr>
          <w:sz w:val="24"/>
        </w:rPr>
        <w:t xml:space="preserve">СРАВНИТЕЛЬНОГО ПРЕИМУЩЕСТВА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6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Минэкономразвития России от 21.08.2025 N 543)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2"/>
        <w:gridCol w:w="3855"/>
        <w:gridCol w:w="4649"/>
      </w:tblGrid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поступлений в бюджеты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Статьи поступлений в бюджеты бюджетной системы Российской Федерации при реализации проекта, учитываемые при определении сравнительного преимущества</w:t>
            </w:r>
          </w:p>
        </w:tc>
      </w:tr>
      <w:tr>
        <w:tc>
          <w:tcPr>
            <w:tcW w:w="552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Налоговые поступления в бюджеты бюджетной системы Российской Федерации при реализации проекта</w:t>
            </w:r>
          </w:p>
        </w:tc>
        <w:tc>
          <w:tcPr>
            <w:tcW w:w="464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добавленную стоимость от выручки (с учетом налоговых вычетов, если применимо).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добавленную стоимость по затратам на выкуп земель и подготовку территории строительства.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имущество организаций от стоимости объекта соглашения по проекту.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прибыль организаций по проекту.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Отчисления во внебюджетные фонды.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доходы физических лиц по проекту</w:t>
            </w:r>
          </w:p>
        </w:tc>
      </w:tr>
      <w:tr>
        <w:tc>
          <w:tcPr>
            <w:tcW w:w="552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Неналоговые поступления в бюджеты бюджетной системы Российской Федерации при реализации проекта</w:t>
            </w:r>
          </w:p>
        </w:tc>
        <w:tc>
          <w:tcPr>
            <w:tcW w:w="464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Плата частного партнера за использование объекта соглашения.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Поступления штрафов от правонарушений, взимаемых посредством объекта соглашения.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Выручка от оказания платных услуг населению и организациям в результате использования объекта соглашения, предполагаемая для поступления в бюджеты бюджетной системы при реализации проекта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Методике оценки эффективности проекта</w:t>
      </w:r>
    </w:p>
    <w:p>
      <w:pPr>
        <w:pStyle w:val="0"/>
        <w:jc w:val="right"/>
      </w:pPr>
      <w:r>
        <w:rPr>
          <w:sz w:val="24"/>
        </w:rPr>
        <w:t xml:space="preserve">государственно-частного партнерства,</w:t>
      </w:r>
    </w:p>
    <w:p>
      <w:pPr>
        <w:pStyle w:val="0"/>
        <w:jc w:val="right"/>
      </w:pPr>
      <w:r>
        <w:rPr>
          <w:sz w:val="24"/>
        </w:rPr>
        <w:t xml:space="preserve">проекта муниципально-частного партнерства</w:t>
      </w:r>
    </w:p>
    <w:p>
      <w:pPr>
        <w:pStyle w:val="0"/>
        <w:jc w:val="right"/>
      </w:pPr>
      <w:r>
        <w:rPr>
          <w:sz w:val="24"/>
        </w:rPr>
        <w:t xml:space="preserve">и определения их сравнительного</w:t>
      </w:r>
    </w:p>
    <w:p>
      <w:pPr>
        <w:pStyle w:val="0"/>
        <w:jc w:val="right"/>
      </w:pPr>
      <w:r>
        <w:rPr>
          <w:sz w:val="24"/>
        </w:rPr>
        <w:t xml:space="preserve">преимущества, утвержденной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30.11.2015 N 894</w:t>
      </w:r>
    </w:p>
    <w:p>
      <w:pPr>
        <w:pStyle w:val="0"/>
        <w:jc w:val="both"/>
      </w:pPr>
      <w:r>
        <w:rPr>
          <w:sz w:val="24"/>
        </w:rPr>
      </w:r>
    </w:p>
    <w:bookmarkStart w:id="709" w:name="P709"/>
    <w:bookmarkEnd w:id="709"/>
    <w:p>
      <w:pPr>
        <w:pStyle w:val="2"/>
        <w:jc w:val="center"/>
      </w:pPr>
      <w:r>
        <w:rPr>
          <w:sz w:val="24"/>
        </w:rPr>
        <w:t xml:space="preserve">СТАТЬИ</w:t>
      </w:r>
    </w:p>
    <w:p>
      <w:pPr>
        <w:pStyle w:val="2"/>
        <w:jc w:val="center"/>
      </w:pPr>
      <w:r>
        <w:rPr>
          <w:sz w:val="24"/>
        </w:rPr>
        <w:t xml:space="preserve">РАСХОДОВ СРЕДСТВ БЮДЖЕТОВ БЮДЖЕТНОЙ СИСТЕМЫ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ПРИ РЕАЛИЗАЦИИ ГОСУДАРСТВЕННОГО</w:t>
      </w:r>
    </w:p>
    <w:p>
      <w:pPr>
        <w:pStyle w:val="2"/>
        <w:jc w:val="center"/>
      </w:pPr>
      <w:r>
        <w:rPr>
          <w:sz w:val="24"/>
        </w:rPr>
        <w:t xml:space="preserve">КОНТРАКТА, МУНИЦИПАЛЬНОГО КОНТРАКТА, УЧИТЫВАЕМЫХ</w:t>
      </w:r>
    </w:p>
    <w:p>
      <w:pPr>
        <w:pStyle w:val="2"/>
        <w:jc w:val="center"/>
      </w:pPr>
      <w:r>
        <w:rPr>
          <w:sz w:val="24"/>
        </w:rPr>
        <w:t xml:space="preserve">ПРИ ОПРЕДЕЛЕНИИ СРАВНИТЕЛЬНОГО ПРЕИМУЩЕСТВА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7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Минэкономразвития России от 21.08.2025 N 543)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405"/>
        <w:gridCol w:w="4025"/>
        <w:gridCol w:w="2098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4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расходов средств бюджетов бюджетной системы Российской Федерации при реализации государственного контракта, муниципального контракта, учитываемых при определении сравнительного преимущества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Статьи расходов средств бюджетов бюджетной системы Российской Федерации при реализации государственного контракта, муниципального контракта, учитываемых при определении сравнительного преимущества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05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создание объекта при реализации государственного контракта, муниципального контракта</w:t>
            </w:r>
          </w:p>
        </w:tc>
        <w:tc>
          <w:tcPr>
            <w:tcW w:w="402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строительство, реконструкцию, техническое перевооружение объекта (с учетом налога на добавленную стоимость), в том числе посредством предоставления бюджетных субсидий бюджетным учреждениям, государственным и муниципальным предприятиям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Равны расходам на строительство, реконструкцию, техническое перевооружение объекта по проекту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05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эксплуатацию и техническое обслуживание объекта при реализации государственного контракта, муниципального контракта</w:t>
            </w:r>
          </w:p>
        </w:tc>
        <w:tc>
          <w:tcPr>
            <w:tcW w:w="402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эксплуатацию и техническое обслуживание объекта (с учетом налога на добавленную стоимость), в том числе посредством предоставления бюджетных субсидий бюджетным учреждениям, государственным и муниципальным предприятиям.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Выплаты процентов по долговым обязательствам и выплаты в связи с погашением долговых ценных бумаг, возвратом кредитов и займов, привлеченных от внешних финансовых организаций (если предусмотрено структурой привлекаемых средств для покрытия расходов средств бюджетов при реализации государственного контракта, муниципального контракта в соответствии с пунктом 24 Методики)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Равны расходам на эксплуатацию и техническое обслуживание объекта по проекту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05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проектирование и подготовительные мероприятия при реализации государственного контракта, муниципального контракта</w:t>
            </w:r>
          </w:p>
        </w:tc>
        <w:tc>
          <w:tcPr>
            <w:tcW w:w="402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подготовку проектно-сметной и рабочей документации на объект капитального строительства (реконструкции, технического перевооружения) (с учетом налога на добавленную стоимость), в том числе посредством предоставления бюджетных субсидий бюджетным учреждениям, государственным и муниципальным предприятиям.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подготовительные мероприятия в отношении земельных участков (с учетом налога на добавленную стоимость), в том числе посредством предоставления бюджетных субсидий бюджетным учреждениям, государственным и муниципальным предприятиям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Равны соответствующим расходам по проекту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Методике оценки эффективности проекта</w:t>
      </w:r>
    </w:p>
    <w:p>
      <w:pPr>
        <w:pStyle w:val="0"/>
        <w:jc w:val="right"/>
      </w:pPr>
      <w:r>
        <w:rPr>
          <w:sz w:val="24"/>
        </w:rPr>
        <w:t xml:space="preserve">государственно-частного партнерства,</w:t>
      </w:r>
    </w:p>
    <w:p>
      <w:pPr>
        <w:pStyle w:val="0"/>
        <w:jc w:val="right"/>
      </w:pPr>
      <w:r>
        <w:rPr>
          <w:sz w:val="24"/>
        </w:rPr>
        <w:t xml:space="preserve">проекта муниципально-частного партнерства</w:t>
      </w:r>
    </w:p>
    <w:p>
      <w:pPr>
        <w:pStyle w:val="0"/>
        <w:jc w:val="right"/>
      </w:pPr>
      <w:r>
        <w:rPr>
          <w:sz w:val="24"/>
        </w:rPr>
        <w:t xml:space="preserve">и определения их сравнительного</w:t>
      </w:r>
    </w:p>
    <w:p>
      <w:pPr>
        <w:pStyle w:val="0"/>
        <w:jc w:val="right"/>
      </w:pPr>
      <w:r>
        <w:rPr>
          <w:sz w:val="24"/>
        </w:rPr>
        <w:t xml:space="preserve">преимущества, утвержденной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30.11.2015 N 894</w:t>
      </w:r>
    </w:p>
    <w:p>
      <w:pPr>
        <w:pStyle w:val="0"/>
        <w:jc w:val="both"/>
      </w:pPr>
      <w:r>
        <w:rPr>
          <w:sz w:val="24"/>
        </w:rPr>
      </w:r>
    </w:p>
    <w:bookmarkStart w:id="749" w:name="P749"/>
    <w:bookmarkEnd w:id="749"/>
    <w:p>
      <w:pPr>
        <w:pStyle w:val="2"/>
        <w:jc w:val="center"/>
      </w:pPr>
      <w:r>
        <w:rPr>
          <w:sz w:val="24"/>
        </w:rPr>
        <w:t xml:space="preserve">СТАТЬИ</w:t>
      </w:r>
    </w:p>
    <w:p>
      <w:pPr>
        <w:pStyle w:val="2"/>
        <w:jc w:val="center"/>
      </w:pPr>
      <w:r>
        <w:rPr>
          <w:sz w:val="24"/>
        </w:rPr>
        <w:t xml:space="preserve">ПОСТУПЛЕНИЙ В БЮДЖЕТЫ БЮДЖЕТНОЙ СИСТЕМЫ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ПРИ РЕАЛИЗАЦИИ ГОСУДАРСТВЕННОГО КОНТРАКТА,</w:t>
      </w:r>
    </w:p>
    <w:p>
      <w:pPr>
        <w:pStyle w:val="2"/>
        <w:jc w:val="center"/>
      </w:pPr>
      <w:r>
        <w:rPr>
          <w:sz w:val="24"/>
        </w:rPr>
        <w:t xml:space="preserve">МУНИЦИПАЛЬНОГО КОНТРАКТА, УЧИТЫВАЕМЫХ ПРИ ОПРЕДЕЛЕНИИ</w:t>
      </w:r>
    </w:p>
    <w:p>
      <w:pPr>
        <w:pStyle w:val="2"/>
        <w:jc w:val="center"/>
      </w:pPr>
      <w:r>
        <w:rPr>
          <w:sz w:val="24"/>
        </w:rPr>
        <w:t xml:space="preserve">СРАВНИТЕЛЬНОГО ПРЕИМУЩЕСТВА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92"/>
        <w:gridCol w:w="4706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Типы поступлений в бюджеты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4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Статьи поступлений в бюджеты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7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Налоговые поступления в бюджеты при реализации государственного контракта, муниципального контракта</w:t>
            </w:r>
          </w:p>
        </w:tc>
        <w:tc>
          <w:tcPr>
            <w:tcW w:w="470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добавленную стоимость от выручки от оказания платных услуг населению и организациям в результате использования объекта при реализации государственного контракта, муниципального контракта (с учетом налоговых вычетов, если применимо)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79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Неналоговые поступления в бюджеты при реализации государственного контракта, муниципального контракта</w:t>
            </w:r>
          </w:p>
        </w:tc>
        <w:tc>
          <w:tcPr>
            <w:tcW w:w="470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Поступления штрафов от правонарушений, взимаемых посредством объекта при реализации государственного контракта, муниципального контракта.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Выручка от оказания платных услуг населению и организациям в результате использования объекта при реализации государственного контракта, муниципального контракта.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Иные неналоговые поступления в бюджеты при реализации государственного контракта, муниципального контракта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Методике оценки эффективности проекта</w:t>
      </w:r>
    </w:p>
    <w:p>
      <w:pPr>
        <w:pStyle w:val="0"/>
        <w:jc w:val="right"/>
      </w:pPr>
      <w:r>
        <w:rPr>
          <w:sz w:val="24"/>
        </w:rPr>
        <w:t xml:space="preserve">государственно-частного партнерства,</w:t>
      </w:r>
    </w:p>
    <w:p>
      <w:pPr>
        <w:pStyle w:val="0"/>
        <w:jc w:val="right"/>
      </w:pPr>
      <w:r>
        <w:rPr>
          <w:sz w:val="24"/>
        </w:rPr>
        <w:t xml:space="preserve">проекта муниципально-частного партнерства</w:t>
      </w:r>
    </w:p>
    <w:p>
      <w:pPr>
        <w:pStyle w:val="0"/>
        <w:jc w:val="right"/>
      </w:pPr>
      <w:r>
        <w:rPr>
          <w:sz w:val="24"/>
        </w:rPr>
        <w:t xml:space="preserve">и определения их сравнительного</w:t>
      </w:r>
    </w:p>
    <w:p>
      <w:pPr>
        <w:pStyle w:val="0"/>
        <w:jc w:val="right"/>
      </w:pPr>
      <w:r>
        <w:rPr>
          <w:sz w:val="24"/>
        </w:rPr>
        <w:t xml:space="preserve">преимущества, утвержденной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30.11.2015 N 894</w:t>
      </w:r>
    </w:p>
    <w:p>
      <w:pPr>
        <w:pStyle w:val="0"/>
        <w:jc w:val="both"/>
      </w:pPr>
      <w:r>
        <w:rPr>
          <w:sz w:val="24"/>
        </w:rPr>
      </w:r>
    </w:p>
    <w:bookmarkStart w:id="780" w:name="P780"/>
    <w:bookmarkEnd w:id="780"/>
    <w:p>
      <w:pPr>
        <w:pStyle w:val="2"/>
        <w:jc w:val="center"/>
      </w:pPr>
      <w:r>
        <w:rPr>
          <w:sz w:val="24"/>
        </w:rPr>
        <w:t xml:space="preserve">СТАТЬИ</w:t>
      </w:r>
    </w:p>
    <w:p>
      <w:pPr>
        <w:pStyle w:val="2"/>
        <w:jc w:val="center"/>
      </w:pPr>
      <w:r>
        <w:rPr>
          <w:sz w:val="24"/>
        </w:rPr>
        <w:t xml:space="preserve">РАСХОДОВ И ПОСТУПЛЕНИЙ, УЧИТЫВАЕМЫЕ ПРИ РАСЧЕТЕ</w:t>
      </w:r>
    </w:p>
    <w:p>
      <w:pPr>
        <w:pStyle w:val="2"/>
        <w:jc w:val="center"/>
      </w:pPr>
      <w:r>
        <w:rPr>
          <w:sz w:val="24"/>
        </w:rPr>
        <w:t xml:space="preserve">ОБЪЕМА ПРИНИМАЕМЫХ ПУБЛИЧНЫМ ПАРТНЕРОМ ОБЯЗАТЕЛЬСТВ</w:t>
      </w:r>
    </w:p>
    <w:p>
      <w:pPr>
        <w:pStyle w:val="2"/>
        <w:jc w:val="center"/>
      </w:pPr>
      <w:r>
        <w:rPr>
          <w:sz w:val="24"/>
        </w:rPr>
        <w:t xml:space="preserve">В СЛУЧАЕ ВОЗНИКНОВЕНИЯ РИСКОВ ПРИ РЕАЛИЗАЦИИ ПРОЕКТА</w:t>
      </w:r>
    </w:p>
    <w:p>
      <w:pPr>
        <w:pStyle w:val="2"/>
        <w:jc w:val="center"/>
      </w:pPr>
      <w:r>
        <w:rPr>
          <w:sz w:val="24"/>
        </w:rPr>
        <w:t xml:space="preserve">ГОСУДАРСТВЕННО-ЧАСТНОГО, МУНИЦИПАЛЬНО-ЧАСТНОГО ПАРТНЕРСТВА</w:t>
      </w:r>
    </w:p>
    <w:p>
      <w:pPr>
        <w:pStyle w:val="2"/>
        <w:jc w:val="center"/>
      </w:pPr>
      <w:r>
        <w:rPr>
          <w:sz w:val="24"/>
        </w:rPr>
        <w:t xml:space="preserve">И ОБЪЕМА ПРИНИМАЕМЫХ ТАКИМ ПУБЛИЧНО-ПРАВОВЫМ ОБРАЗОВАНИЕМ</w:t>
      </w:r>
    </w:p>
    <w:p>
      <w:pPr>
        <w:pStyle w:val="2"/>
        <w:jc w:val="center"/>
      </w:pPr>
      <w:r>
        <w:rPr>
          <w:sz w:val="24"/>
        </w:rPr>
        <w:t xml:space="preserve">ОБЯЗАТЕЛЬСТВ ПРИ РЕАЛИЗАЦИИ ГОСУДАРСТВЕННОГО,</w:t>
      </w:r>
    </w:p>
    <w:p>
      <w:pPr>
        <w:pStyle w:val="2"/>
        <w:jc w:val="center"/>
      </w:pPr>
      <w:r>
        <w:rPr>
          <w:sz w:val="24"/>
        </w:rPr>
        <w:t xml:space="preserve">МУНИЦИПАЛЬНОГО КОНТРАКТА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8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Минэкономразвития России от 21.08.2025 N 543)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5"/>
        <w:gridCol w:w="1871"/>
        <w:gridCol w:w="3401"/>
        <w:gridCol w:w="3231"/>
      </w:tblGrid>
      <w:tr>
        <w:tc>
          <w:tcPr>
            <w:tcW w:w="5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рисков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Статьи расходов и поступлений, учитываемые при расчете объема принимаемых публичным партнером обязательств в случае возникновения рисков при реализации проекта государственно-частного, муниципально-частного партнерства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Статьи расходов и поступлений, учитываемые при расчете объема принимаемых публично-правовым образованием обязательств в случае возникновения рисков при реализации государственного, муниципального контракта</w:t>
            </w:r>
          </w:p>
        </w:tc>
      </w:tr>
      <w:tr>
        <w:tc>
          <w:tcPr>
            <w:tcW w:w="5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Риски создания объекта</w:t>
            </w:r>
          </w:p>
        </w:tc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создание объекта при реализации проекта (с учетом налога на добавленную стоимость), связанные с обусловленным исполнением обязательств публичного партнера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создание объекта при реализации государственного контракта, муниципального контракта (с учетом налога на добавленную стоимость)</w:t>
            </w:r>
          </w:p>
        </w:tc>
      </w:tr>
      <w:tr>
        <w:tc>
          <w:tcPr>
            <w:tcW w:w="5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Риски проектирования и подготовительных мероприятий</w:t>
            </w:r>
          </w:p>
        </w:tc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проектирование и подготовительные мероприятия при реализации проекта (с учетом налога на добавленную стоимость), связанные с обусловленным исполнением обязательств публичного партнера и (или) связанные с осуществлением соответствующих мероприятий публичным партнером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проектирование и подготовительные мероприятия при реализации государственного контракта, муниципального контракта (с учетом налога на добавленную стоимость)</w:t>
            </w:r>
          </w:p>
        </w:tc>
      </w:tr>
      <w:tr>
        <w:tc>
          <w:tcPr>
            <w:tcW w:w="5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Риски эксплуатации объекта</w:t>
            </w:r>
          </w:p>
        </w:tc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эксплуатацию и (или) техническое обслуживание объекта при реализации проекта (с учетом налога на добавленную стоимость), связанные с обусловленным исполнением обязательств публичного партнера.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эксплуатацию и (или) техническое обслуживание объекта при реализации проекта (с учетом налога на добавленную стоимость), связанные с осуществлением данных мероприятий публичным партнером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средств бюджетов бюджетной системы Российской Федерации на эксплуатацию и техническое обслуживание объекта при реализации государственного контракта, муниципального контракта (с учетом налога на добавленную стоимость)</w:t>
            </w:r>
          </w:p>
        </w:tc>
      </w:tr>
      <w:tr>
        <w:tc>
          <w:tcPr>
            <w:tcW w:w="5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Риски получения доходов от использования объекта</w:t>
            </w:r>
          </w:p>
        </w:tc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Выручка от оказания платных услуг населению и организациям в результате использования объекта соглашения, предполагаемая для поступления в бюджеты бюджетной системы Российской Федерации при реализации проекта (с учетом налога на добавленную стоимость от выручки).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Компенсация получения доходов частного партнера от использования объекта при реализации проекта, связанная с обусловленным исполнением обязательств публичного партнера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Выручка от оказания платных услуг населению и организациям в результате использования объекта соглашения (с учетом налога на добавленную стоимость от выручки)</w:t>
            </w:r>
          </w:p>
        </w:tc>
      </w:tr>
      <w:tr>
        <w:tc>
          <w:tcPr>
            <w:tcW w:w="5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риски</w:t>
            </w:r>
          </w:p>
        </w:tc>
        <w:tc>
          <w:tcPr>
            <w:tcW w:w="34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Прочие расходы средств бюджетов бюджетной системы Российской Федерации, связанные с обусловленным исполнением обязательств публичного партнера (включая расходы, связанные с компенсацией при досрочном прекращении соглашения, а также расходы, связанные с ростом ключевой ставки Центрального банка Российской Федерации)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Прочие расходы средств бюджетов бюджетной системы Российской Федерации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Методике оценки эффективности</w:t>
      </w:r>
    </w:p>
    <w:p>
      <w:pPr>
        <w:pStyle w:val="0"/>
        <w:jc w:val="right"/>
      </w:pPr>
      <w:r>
        <w:rPr>
          <w:sz w:val="24"/>
        </w:rPr>
        <w:t xml:space="preserve">проекта государственно-частного</w:t>
      </w:r>
    </w:p>
    <w:p>
      <w:pPr>
        <w:pStyle w:val="0"/>
        <w:jc w:val="right"/>
      </w:pPr>
      <w:r>
        <w:rPr>
          <w:sz w:val="24"/>
        </w:rPr>
        <w:t xml:space="preserve">партнерства, проекта муниципально-частного</w:t>
      </w:r>
    </w:p>
    <w:p>
      <w:pPr>
        <w:pStyle w:val="0"/>
        <w:jc w:val="right"/>
      </w:pPr>
      <w:r>
        <w:rPr>
          <w:sz w:val="24"/>
        </w:rPr>
        <w:t xml:space="preserve">партнерства и определения их</w:t>
      </w:r>
    </w:p>
    <w:p>
      <w:pPr>
        <w:pStyle w:val="0"/>
        <w:jc w:val="right"/>
      </w:pPr>
      <w:r>
        <w:rPr>
          <w:sz w:val="24"/>
        </w:rPr>
        <w:t xml:space="preserve">сравнительного преимущества,</w:t>
      </w:r>
    </w:p>
    <w:p>
      <w:pPr>
        <w:pStyle w:val="0"/>
        <w:jc w:val="right"/>
      </w:pPr>
      <w:r>
        <w:rPr>
          <w:sz w:val="24"/>
        </w:rPr>
        <w:t xml:space="preserve">утвержденной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30.11.2015 N 894</w:t>
      </w:r>
    </w:p>
    <w:p>
      <w:pPr>
        <w:pStyle w:val="0"/>
        <w:jc w:val="both"/>
      </w:pPr>
      <w:r>
        <w:rPr>
          <w:sz w:val="24"/>
        </w:rPr>
      </w:r>
    </w:p>
    <w:bookmarkStart w:id="832" w:name="P832"/>
    <w:bookmarkEnd w:id="832"/>
    <w:p>
      <w:pPr>
        <w:pStyle w:val="2"/>
        <w:jc w:val="center"/>
      </w:pPr>
      <w:r>
        <w:rPr>
          <w:sz w:val="24"/>
        </w:rPr>
        <w:t xml:space="preserve">ДОПУСТИМЫЕ ЗНАЧЕНИЯ</w:t>
      </w:r>
    </w:p>
    <w:p>
      <w:pPr>
        <w:pStyle w:val="2"/>
        <w:jc w:val="center"/>
      </w:pPr>
      <w:r>
        <w:rPr>
          <w:sz w:val="24"/>
        </w:rPr>
        <w:t xml:space="preserve">ВЕРОЯТНЫХ ОТКЛОНЕНИЙ, УЧИТЫВАЕМЫЕ ПРИ РАСЧЕТЕ</w:t>
      </w:r>
    </w:p>
    <w:p>
      <w:pPr>
        <w:pStyle w:val="2"/>
        <w:jc w:val="center"/>
      </w:pPr>
      <w:r>
        <w:rPr>
          <w:sz w:val="24"/>
        </w:rPr>
        <w:t xml:space="preserve">ОБЪЕМА ПРИНИМАЕМЫХ ПУБЛИЧНЫМ ПАРТНЕРОМ ОБЯЗАТЕЛЬСТВ</w:t>
      </w:r>
    </w:p>
    <w:p>
      <w:pPr>
        <w:pStyle w:val="2"/>
        <w:jc w:val="center"/>
      </w:pPr>
      <w:r>
        <w:rPr>
          <w:sz w:val="24"/>
        </w:rPr>
        <w:t xml:space="preserve">В СЛУЧАЕ ВОЗНИКНОВЕНИЯ РИСКОВ ПРИ РЕАЛИЗАЦИИ ПРОЕКТА</w:t>
      </w:r>
    </w:p>
    <w:p>
      <w:pPr>
        <w:pStyle w:val="2"/>
        <w:jc w:val="center"/>
      </w:pPr>
      <w:r>
        <w:rPr>
          <w:sz w:val="24"/>
        </w:rPr>
        <w:t xml:space="preserve">ГОСУДАРСТВЕННО-ЧАСТНОГО, МУНИЦИПАЛЬНО-ЧАСТНОГО ПАРТНЕРСТВА</w:t>
      </w:r>
    </w:p>
    <w:p>
      <w:pPr>
        <w:pStyle w:val="2"/>
        <w:jc w:val="center"/>
      </w:pPr>
      <w:r>
        <w:rPr>
          <w:sz w:val="24"/>
        </w:rPr>
        <w:t xml:space="preserve">И ОБЪЕМА ПРИНИМАЕМЫХ ТАКИМ ПУБЛИЧНО-ПРАВОВЫМ ОБРАЗОВАНИЕМ</w:t>
      </w:r>
    </w:p>
    <w:p>
      <w:pPr>
        <w:pStyle w:val="2"/>
        <w:jc w:val="center"/>
      </w:pPr>
      <w:r>
        <w:rPr>
          <w:sz w:val="24"/>
        </w:rPr>
        <w:t xml:space="preserve">ОБЯЗАТЕЛЬСТВ ПРИ РЕАЛИЗАЦИИ ГОСУДАРСТВЕННОГО,</w:t>
      </w:r>
    </w:p>
    <w:p>
      <w:pPr>
        <w:pStyle w:val="2"/>
        <w:jc w:val="center"/>
      </w:pPr>
      <w:r>
        <w:rPr>
          <w:sz w:val="24"/>
        </w:rPr>
        <w:t xml:space="preserve">МУНИЦИПАЛЬНОГО КОНТРАКТА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9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Минэкономразвития России от 21.08.2025 N 543)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3118"/>
        <w:gridCol w:w="5385"/>
      </w:tblGrid>
      <w:tr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рисков</w:t>
            </w:r>
          </w:p>
        </w:tc>
        <w:tc>
          <w:tcPr>
            <w:tcW w:w="53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Допустимые значения вероятных отклонений, учитываемые при расчете объема принимаемых публичным партнером обязательств в случае возникновения рисков при реализации проекта государственно-частного, муниципально-частного партнерства и объема принимаемых таким публично-правовым образованием обязательств при реализации государственного, муниципального контракта (%)</w:t>
            </w:r>
          </w:p>
        </w:tc>
      </w:tr>
      <w:tr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Риски создания объекта</w:t>
            </w:r>
          </w:p>
        </w:tc>
        <w:tc>
          <w:tcPr>
            <w:tcW w:w="538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Риски проектирования и подготовительных мероприятий</w:t>
            </w:r>
          </w:p>
        </w:tc>
        <w:tc>
          <w:tcPr>
            <w:tcW w:w="538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Риски эксплуатации объекта</w:t>
            </w:r>
          </w:p>
        </w:tc>
        <w:tc>
          <w:tcPr>
            <w:tcW w:w="538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Риски получения доходов от использования объекта</w:t>
            </w:r>
          </w:p>
        </w:tc>
        <w:tc>
          <w:tcPr>
            <w:tcW w:w="538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</w:tr>
      <w:tr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Прочие риски</w:t>
            </w:r>
          </w:p>
        </w:tc>
        <w:tc>
          <w:tcPr>
            <w:tcW w:w="538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Методике оценки эффективности проекта</w:t>
      </w:r>
    </w:p>
    <w:p>
      <w:pPr>
        <w:pStyle w:val="0"/>
        <w:jc w:val="right"/>
      </w:pPr>
      <w:r>
        <w:rPr>
          <w:sz w:val="24"/>
        </w:rPr>
        <w:t xml:space="preserve">государственно-частного партнерства,</w:t>
      </w:r>
    </w:p>
    <w:p>
      <w:pPr>
        <w:pStyle w:val="0"/>
        <w:jc w:val="right"/>
      </w:pPr>
      <w:r>
        <w:rPr>
          <w:sz w:val="24"/>
        </w:rPr>
        <w:t xml:space="preserve">проекта муниципально-частного партнерства</w:t>
      </w:r>
    </w:p>
    <w:p>
      <w:pPr>
        <w:pStyle w:val="0"/>
        <w:jc w:val="right"/>
      </w:pPr>
      <w:r>
        <w:rPr>
          <w:sz w:val="24"/>
        </w:rPr>
        <w:t xml:space="preserve">и определения их сравнительного</w:t>
      </w:r>
    </w:p>
    <w:p>
      <w:pPr>
        <w:pStyle w:val="0"/>
        <w:jc w:val="right"/>
      </w:pPr>
      <w:r>
        <w:rPr>
          <w:sz w:val="24"/>
        </w:rPr>
        <w:t xml:space="preserve">преимущества, утвержденной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30 ноября 2015 г. N 894</w:t>
      </w:r>
    </w:p>
    <w:p>
      <w:pPr>
        <w:pStyle w:val="0"/>
        <w:jc w:val="both"/>
      </w:pPr>
      <w:r>
        <w:rPr>
          <w:sz w:val="24"/>
        </w:rPr>
      </w:r>
    </w:p>
    <w:bookmarkStart w:id="875" w:name="P875"/>
    <w:bookmarkEnd w:id="875"/>
    <w:p>
      <w:pPr>
        <w:pStyle w:val="2"/>
        <w:jc w:val="center"/>
      </w:pPr>
      <w:r>
        <w:rPr>
          <w:sz w:val="24"/>
        </w:rPr>
        <w:t xml:space="preserve">ПРИМЕРНЫЙ ПЕРЕЧЕНЬ</w:t>
      </w:r>
    </w:p>
    <w:p>
      <w:pPr>
        <w:pStyle w:val="2"/>
        <w:jc w:val="center"/>
      </w:pPr>
      <w:r>
        <w:rPr>
          <w:sz w:val="24"/>
        </w:rPr>
        <w:t xml:space="preserve">ПОКАЗАТЕЛЕЙ ДЛЯ РАСЧЕТА НЕОБЕСПЕЧЕННОЙ ПОТРЕБНОСТИ</w:t>
      </w:r>
    </w:p>
    <w:p>
      <w:pPr>
        <w:pStyle w:val="2"/>
        <w:jc w:val="center"/>
      </w:pPr>
      <w:r>
        <w:rPr>
          <w:sz w:val="24"/>
        </w:rPr>
        <w:t xml:space="preserve">В ТОВАРАХ (УСЛУГАХ), ПРОИЗВОДСТВО (ОКАЗАНИЕ) КОТОРЫХ</w:t>
      </w:r>
    </w:p>
    <w:p>
      <w:pPr>
        <w:pStyle w:val="2"/>
        <w:jc w:val="center"/>
      </w:pPr>
      <w:r>
        <w:rPr>
          <w:sz w:val="24"/>
        </w:rPr>
        <w:t xml:space="preserve">ПРЕДПОЛАГАЕТСЯ С ИСПОЛЬЗОВАНИЕМ ОБЪЕКТА СОГЛАШЕНИЯ</w:t>
      </w:r>
    </w:p>
    <w:p>
      <w:pPr>
        <w:pStyle w:val="2"/>
        <w:jc w:val="center"/>
      </w:pPr>
      <w:r>
        <w:rPr>
          <w:sz w:val="24"/>
        </w:rPr>
        <w:t xml:space="preserve">О ГОСУДАРСТВЕННО-ЧАСТНОМ ПАРТНЕРСТВЕ, СОГЛАШЕНИЯ</w:t>
      </w:r>
    </w:p>
    <w:p>
      <w:pPr>
        <w:pStyle w:val="2"/>
        <w:jc w:val="center"/>
      </w:pPr>
      <w:r>
        <w:rPr>
          <w:sz w:val="24"/>
        </w:rPr>
        <w:t xml:space="preserve">О МУНИЦИПАЛЬНО-ЧАСТНОМ ПАРТНЕРСТВЕ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140" w:tooltip="Приказ Минэкономразвития России от 21.08.2025 N 543 &quot;О внесении изменений в Методику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ую приказом Минэкономразвития России от 30 ноября 2015 г. N 894&quot; (Зарегистрировано в Минюсте России 29.08.2025 N 83397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  <w:color w:val="392c69"/>
              </w:rPr>
              <w:t xml:space="preserve"> Минэкономразвития России от 21.08.2025 N 543)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0"/>
        <w:gridCol w:w="3118"/>
        <w:gridCol w:w="4706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 соглашения о государственно-частном партнерстве, соглашения о муниципально-частном партнерстве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(далее - соглашение)</w:t>
            </w:r>
          </w:p>
        </w:tc>
        <w:tc>
          <w:tcPr>
            <w:tcW w:w="4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 для расчета необеспеченной потребности в товарах (услугах), производство (оказание) которых предполагается с использованием объекта соглашения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Частные автомобильные дороги или участки частных автомобильных дорог, мосты, защитные дорожные сооружения, искусственные дорожные сооружения, производственные объекты (объекты, используемые при капитальном ремонте, ремонте и содержании автомобильных дорог), элементы обустройства автомобильных дорог, объекты, предназначенные для взимания платы (в том числе пункты взимания платы), объекты дорожного сервиса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Автомобильные дороги федерального, регионального, межмуниципального и местного значения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Потребность в суммарной наличной пропускной способности автомобильных дорог (между населенными пунктами (начальной и конечной точкой маршрута), связываемыми проектируемой (реконструируемой) автомобильной дорогой);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средняя коммерческая скорость товародвижения и ее соотношение со средним по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(увеличение объема) грузооборота транспорта общего пользования, пассажирооборота автобусного и другого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доли населенных пунктов, связанных дорогами с твердым покрытием с сетью автомобильных дорог общего пользования;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автомобильных дорогах,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сокращение времени пребывания грузов, пассажиров в пути;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эксплуатационные расходы после ввода объекта в эксплуатацию;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текущая среднесуточная интенсивность движения по объекту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среднесуточная интенсивность движения после завершения инвестиционного проекта (прогнозное значение);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минимальное значение расчетной среднесуточной интенсивности движения в соответствии с заявленной категорией автомобильной дороги с учетом количества полос движения и рельефа местности (при необходимости);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перспективная (рассчитанная на долгосрочный период) среднесуточная интенсивность движения по объекту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обустройства (оснащения) автомобильных дорог (стационарное электрическое освещение, акустические экраны, тротуары, пешеходные переходы, укрепительные сооружения, площадки отдыха, остановочные пункты на автомобильной дороге), станции технического обслуживания автомобилей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Строительная длина (протяженность) искусственных сооружений;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количество осветительных установок;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ожидаемая доля снижения дорожно-транспортных происшествий (далее - ДТП) после устройства электроосвещения искусственных дорожных сооружений;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снижение уровня транспортного шума;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численность и доля населения в непосредственной близости от устанавливаемых шумозащитных экранов;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количество и доля пешеходов, для которых удовлетворена потребность в тротуарах в объеме, необходимом для повышения их безопасности на автомобильной дороге;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среднесуточная интенсивность пешеходного движения;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снижение уровня ДТП с участием пешеходов;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количество объектов обустройства (для которых применим данный показатель);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среднесуточная интенсивность (текущая и перспективная) дорожного движения;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вероятность разрушения автомобильной дороги;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снижение уровня загруженности автомобильной дороги после устройства площадок отдыха;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снижение уровня ДТП после ввода в эксплуатацию площадок отдыха;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пассажирооборот автобусного транспорта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Пассажирские автовокзалы и станции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Суммарная наличная пропускная способность автомобильных дорог (между населенными пунктами (начальной и конечной точкой маршрута);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(увеличение объема) пассажирооборота автобусного и другого транспорта общего пользования;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автомобильных вокзалах,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сокращение времени пребывания пассажиров в пути;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эксплуатационные расходы после ввода объекта в эксплуатацию;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текущая среднесуточная интенсивность движения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2"/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Мосты, тоннели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Суммарная наличная пропускная способность дорог, обеспечиваемая за счет реализации инвестиционных проектов по строительству и (или) реконструкции мостов и тоннелей, в том числе по сравнению с существующими мощностями;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(увеличение объема) грузооборота и пассажирооборота железнодорожного, автобусного и другого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сокращение времени пребывания грузов, пассажиров в пути;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доступности (в том числе круглогодичной) населенных пунктов, связанных мостами и тоннелями с сетью путей сообщения общего пользования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 в том числе (монорельсы, фуникулеры, трамвайные линии), за исключением метрополитена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Суммарная наличная пропускная способность создаваемых путей сообщения;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средняя коммерческая скорость пассажиро- и товародвижения на создаваемых путях сообщения и ее соотношение со средним по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транспортных путях,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(увеличение объема) грузооборота транспорта общего пользования; сокращение времени пребывания грузов, пассажиров в пути;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улучшение доступности и связанности населенных пунктов;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наличие/отсутствие альтернативных путей сообщения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железнодорожного транспорта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Железнодорожные линии общего пользования, железнодорожные станции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Суммарная наличная пропускная способность железнодорожных магистралей;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средняя коммерческая скорость товародвижения на железнодорожном транспорте и ее соотношение со средним по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железнодорожных путях,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(увеличение объема) грузооборота железнодорожного транспорта общего пользования;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сокращение времени пребывания грузов, пассажиров в пути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Железнодорожные вокзалы, остановочные пассажирские железнодорожные пункты, железнодорожные пути необщего пользования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доли населенных пунктов, связанных железнодорожными путями с железнодорожными линиями общего пользования;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обеспечение возможности доставки продукции с предприятий, расположенных в труднодоступных местностях в том числе (горнодобывающие, лесозаготовительные предприятия);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железнодорожных путях,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(увеличение объема) грузооборота железнодорожного транспорта общего пользования;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сокращение времени пребывания грузов, пассажиров в пути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обустройства (оснащения) железнодорожного транспорта, управления и контроля железнодорожных перевозок, железнодорожные депо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Строительная длина (протяженность) искусственных сооружений;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количество осветительных установок;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ожидаемая доля снижения несчастных случаев на железной дороге после устройства электроосвещения;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снижение уровня транспортного шума;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численность и доля населения в непосредственной близости от устанавливаемых шумозащитных экранов;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количество и доля пешеходов, для которых удовлетворена потребность в железнодорожных переходах в объеме, необходимом для повышения их безопасности на железной дороге;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среднесуточная интенсивность пешеходного движения;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снижение уровня несчастных случаев на железной дороге с участием пешеходов;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количество объектов обустройства (для которых применим данный показатель);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среднесуточная интенсивность (текущая и перспективная) движения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IV.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трубопроводного транспорта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Магистральные трубопроводы для транспортировки жидких и газообразных углеводородов, включая газопроводы-отводы и газораспределительные станции (за исключением газопроводов-отводов и газораспределительных станций, расположенных на территории одного субъекта Российской Федерации и предусмотренных утвержденными региональными программами газификации ЖКХ, промышленных и иных организаций);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сети газораспределения, предназначенные для транспортировки природного газа под давлением свыше 1,2 МПа и сжиженного углеводородного газа под давлением свыше 1,6 МПа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Информация о соответствии региональным программам газификации субъектов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трубопроводах жидких и газообразных углеводородов,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сокращение времени и стоимости доставки жидких и газообразных углеводородов до конечного потребителя;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количества газифицированных населенных пунктов;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прогнозный топливный баланс;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проект изменений в Генеральную схему развития нефтяной отрасли Российской Федерации и Генеральную схему газовой отрасли Российской Федерации до 2035 года;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предложения по корректировке схемы территориального планирования в области федерального трубопроводного транспорта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Региональные системы газоснабжения, газопроводы-отводы и газораспределительные станции, расположенные на территории одного субъекта Российской Федерации и предусмотренные утвержденными региональными программами газификации жилищно-коммунального хозяйства, промышленных и иных организаций, предназначенные для транспортировки природного и сжиженного углеводородного газа свыше 0,005 до 1,2 МПа включительно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Информация о соответствии региональным программам газификации субъектов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доли газифицированных населенных пунктов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Морские порты, речные порты, специализированные порты, объекты их инфраструктур, в том числе искусственные земельные участки, портовые гидротехнические сооружения, за исключением объектов инфраструктуры морского порта, которые могут находиться в федеральной собственности, не подлежат отчуждению в частную собственность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Морские порты и (или) морские терминалы;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речные порты, входящие в состав опорной сети внутренних водных путей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Суммарная наличная пропускная способность инфраструктуры морского и речного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средняя коммерческая скорость товародвижения и ее соотношение со средним по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морских и речных портах, портопунктах и причалах,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(увеличение объема) грузооборота и пассажирооборота морского и речного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наличие производственной базы, в рамках которой предполагается использовать создаваемые порты;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наличие комплексной транспортной инфраструктуры для функционирования портов;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сокращение времени пребывания грузов, пассажиров в пути;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технические характеристики и состояние используемых действующих морских терминалов, инфраструктуры морских, речных портов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Причалы (пристань, причальная стенка вне речного порта)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доли населенных пунктов, связанных сетью путей морского и речного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доступности отдаленных населенных пунктов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Морские суда и речные суда, суда смешанного (река - море) плавания, а также суда, осуществляющие ледокольную проводку, гидрографическую, научно-исследовательскую деятельность, паромные переправы, плавучие и сухие доки, за исключением объектов, которые в соответствии с законодательством Российской Федерации находятся в государственной собственности, не подлежат отчуждению в частную собственность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Морские суда и речные суда, суда смешанного (река - море) плавания, а также суда, осуществляющие ледокольную проводку, гидрографическую, научно-исследовательскую деятельность, паромные переправы, плавучие и сухие доки, за исключением объектов, которые в соответствии с законодательством Российской Федерации находятся в государственной собственности, не подлежат отчуждению в частную собственность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Суммарная наличная пропускная способность существующего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транспорте,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(увеличение объема) грузооборота и пассажирооборота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наличие инфраструктуры для функционирования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сокращение времени пребывания грузов, пассажиров в пути;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текущее состояние действующих судов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VII.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Воздушные суда, аэродромы, аэропорты, технические средства и другие предназначенные для обеспечения полетов воздушных судов средства, за исключением объектов, отнесенных к имуществу государственной авиации или к единой системе организации воздушного движения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Воздушные суда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Суммарная наличная пропускная способность существующего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транспорте,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(увеличение объема) грузооборота и пассажирооборота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наличие инфраструктуры для функционирования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сокращение времени пребывания грузов, пассажиров в пути;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текущее состояние действующих судов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Аэропорты и (или) аэродромы федерального значения, объекты Единой системы организации воздушного движения, расположенные вне аэропортов (аэродромов)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(увеличение объема) грузооборота и пассажирооборота воздушного транспорта общего пользования;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воздушных путях сообщения,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сокращение времени пребывания грузов, пассажиров в пути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Аэропорты и (или) аэродромы регионального значения, вертодромы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доли населенных пунктов, имеющих собственные аэропорты и (или) аэродромы и связанных с единой системой воздушных путей сообщения;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доступности (в том числе круглогодичной) отдаленных населенных пунктов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VIII.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по производству, передаче и распределению электрической энергии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по производству, передаче и распределению электрической энергии, включая атомные, гидро-, теплоэлектростанции, электростанции на возобновляемых источниках энергии и обеспечивающие сооружения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Информация о соответствии документам перспективного развития электроэнергетики, межрегиональным, региональным программам развития энергетики субъектов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прогнозное количество потребителей электроэнергии, не обеспеченных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количества электрифицированных населенных пунктов;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предложения по корректировке схемы территориального планирования в области развития энергетики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IX.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Гидротехнические сооружения, стационарные и (или) плавучие платформы, искусственные острова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Гидротехнические сооружения, стационарные и (или) плавучие платформы, искусственные острова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Суммарная наличная пропускная способность инфраструктуры речного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средняя коммерческая скорость товародвижения и ее соотношение со средним по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судоходных гидротехнических сооружениях внутренних водных путей,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(увеличение объема) грузооборота и пассажирооборота речного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сокращение времени пребывания грузов, пассажиров в пути;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доли населенных пунктов, связанных сетью путей речного транспорта;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текущее состояние действующих гидротехнических сооружений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Подводные и подземные технические сооружения, переходы, сооружения связи, линии связи и коммуникации, иные линейные объекты связи и коммуникации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Подводные и подземные технические сооружения, переходы, сооружения связи, линии связи и коммуникации, иные линейные объекты связи и коммуникации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услугах связи на соответствующей территории,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увеличение уровня обеспеченности соответствующей территории услугами связи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здравоохранения, в том числе объекты, предназначенные для санаторно-курортного лечения и иной деятельности в сфере здравоохранения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капитального строительства (здания, комплекс зданий), в которых расположены специализированные больницы, госпитали и диспансеры в том числе (онкологические, инфекционные, туберкулезные), диагностические центры, лаборатории высокого уровня биологической безопасности, национальные медицинские исследовательские центры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Прогнозное количество жителей, нуждающихся в соответствующих объемах медицинской помощи, но не обеспеченных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показатель, характеризующий потребность в заявленной медицинской помощи, например, число больничных коек, мощность амбулаторно-поликлинических организаций и так далее в данном федеральном округе/регионе;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количество проводимых исследований, испытаний;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соотношение указанной обеспеченности населения со средним уровнем обеспеченности по стране;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обеспеченность медицинским персоналом в соответствии с установленными штатными нормативами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капитального строительства (здания, комплекс зданий), в которых расположены больницы, перинатальные центры, хосписы, объекты санаторно-курортного лечения, лечебно-реабилитационные центры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Показатель, характеризующий потребность в заявленной медицинской помощи, например, число больничных коек, мощность амбулаторно-поликлинических организаций;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прогнозное количество жителей, нуждающихся в соответствующих объемах медицинской помощи, но не обеспеченных за счет существующих мощностей на региональном уровне;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необеспеченная потребность в санаторно-курортном лечении, реабилитации;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обеспеченность медицинским персоналом в соответствии с установленными штатными нормативами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капитального строительства (здания, комплекс зданий), в которых расположены поликлиники, фельдшерско-акушерские пункты, станции скорой помощи, медицинские санитарные части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Показатель, характеризующий потребность в заявленной медицинской помощи, например, число больничных коек, мощность амбулаторно-поликлинических организаций, количество медицинских объектов для оказания скорой и неотложной медицинской помощи;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прогнозное количество жителей, нуждающихся в соответствующих объемах медицинской помощи, но не обеспеченных за счет существующих мощностей на местном уровне;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обеспеченность медицинским персоналом в соответствии с установленными штатными нормативами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отдыха и оздоровления детей (здания, комплексы зданий), в которых расположены организации, предоставляющие услуги по отдыху и (или) оздоровлению детей, детские лагеря соответствующего типа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Уровень обеспеченности детей (от 3 до 18 лет) объектами отдыха и оздоровления детей, количество мест на 1 000 резидентов, соотношение обеспеченности со среднестатистическим уровнем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прогнозное количество детей (от 3 до 18 лет), нуждающихся в соответствующих местах, но не обеспеченных за счет существующих мощностей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XII.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образования, культуры, спорта, объекты, используемые для организации отдыха граждан и туризма, иные объекты социального обслуживания населения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капитального строительства (здания, комплекс зданий), в которых расположены образовательные организации среднего профессионального образования (профессиональное училище, техникум, техникум-интернат, колледж)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Данные о численности постоянного населения с учетом демографического прогноза;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обеспеченность населения местами в организациях среднего профессионального образования в данном регионе (муниципальном образовании);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соотношение указанной обеспеченности населения со средним уровнем обеспеченности по стране;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потребность региона в специалистах соответствующих специальностей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капитального строительства (здания, комплекс зданий), в которых расположены дошкольные и общеобразовательные учреждения, центры детского творчества и иные образовательные организации соответствующего типа в том числе (ясли, детские сады, школы, лицеи, гимназии)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Данные о численности постоянного населения с учетом демографического прогноза соответствующего возрастного состава;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обеспеченность населения местами в дошкольных и общеобразовательных учреждениях в данном регионе (муниципальном образовании);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соотношение указанной обеспеченности населения со средним уровнем обеспеченности по стране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капитального строительства (здания, комплекс зданий), в которых расположены общеобразовательные организации, имеющие интернат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Данные о численности постоянного населения с учетом демографического прогноза;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обеспеченность населения местами в общеобразовательных организациях, имеющих интернат в данном регионе (муниципальном образовании);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соотношение указанной обеспеченности населения со средним уровнем обеспеченности по стране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капитального строительства (здания, комплекс зданий), в которых расположены образовательные организации высшего образования, военные училища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Уровень обеспеченности населения образовательными организациями высшего образования и военными училищами на конкретной территории по сравнению со среднестатистическим уровнем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прогнозное количество обучающихся и преподавательского состава, нуждающихся в соответствующих площадях, но не обеспеченных за счет существующих мощностей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капитального строительства (здания, комплекс зданий), в которых расположены общежития при организациях среднего профессионального образования, высшего образования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Прогнозное количество учащихся, нуждающихся в местах в общежитиях;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обеспеченность учащихся местами в общежитиях, процентов от числа нуждающихся в местах в общежитиях;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соотношение указанной обеспеченности учащихся со средним уровнем обеспеченности по стране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капитального строительства (здания, комплекс зданий), в которых расположены организации культуры в том числе (театры, музеи, библиотеки), в том числе объекты досуга (аквапарки, зоопарки, игровые центры)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Данные о численности постоянного населения с учетом демографического прогноза;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обеспеченность населения объектами культуры, религии и досуга в данном федеральном округе, регионе, муниципальном образовании (уровень обеспеченности населения в том числе региональными, межмуниципальными и муниципальными библиотеками, музеями, театрами, концертными залами, кинозалами, парками культуры и отдыха и тому подобное);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соотношение указанной обеспеченности населения со средним уровнем обеспеченности по стране;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уникальность объекта, его культурная и историческая ценность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Стадионы с трибунами на 1 500 мест и более, ледовые арены, бассейны, специализированные спортивные комплексы в том числе (теннисный центр, горнолыжный центр, конно-спортивный центр, ипподром, парусный центр, трек), физкультурно-оздоровительные комплексы общей площадью более 3000 кв. м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Уровень обеспеченности населения объектами физической культуры и спорта на конкретной территории по сравнению со среднестатистическим уровнем в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прогнозное количество жителей, нуждающихся в соответствующих объектах физический культуры и спорта, но не обеспеченных за счет существующих мощностей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Спортивные залы, плавательные бассейны общего пользования, общей площадью менее 3 000 кв. м, спортивно-зрелищные сооружения (в том числе с искусственным льдом), общей площадью менее 3 000 кв. м, в том числе спортивные площадки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Прогнозное количество жителей, нуждающихся в соответствующих объектах физической культуры и спорта, но не обеспеченных за счет существующих мощностей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XIII.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Объекты, на которых осуществляются обработка, утилизация, обезвреживание, размещение твердых коммунальных отходов, сбор, использование, обезвреживание, размещение, хранение, транспортировка, учет и утилизация медицинских отходов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Объекты, на которых осуществляются обработка, утилизация, обезвреживание, размещение твердых коммунальных отходов, сбор, использование, обезвреживание, размещение, хранение, транспортировка, учет и утилизация медицинских отходов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услугах по сортировке, обработке и утилизации твердых коммунальных отходов,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объем сортированных, обработанных и утилизированных отходов;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соответствие концентрации вредных веществ предельно допустимой концентрации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XIV.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благоустройства территорий, в том числе для их освещения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благоустройства территорий, в том числе для их освещения, включая набережные, променады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Текущее и прогнозное количество посетителей территории, требующей благоустройства, набережной, променада (максимальное и минимальное значения в зависимости от сезона);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текущий и прогнозный туристический поток в населенный пункт, в котором располагается территория, требующая благоустройства, набережная, променад;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текущее и прогнозное количество мест размещения (номерной фонд)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XV.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Мелиоративные системы и объекты их инженерной инфраструктуры, за исключением государственных мелиоративных систем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Мелиоративные системы и объекты их инженерной инфраструктуры, за исключением государственных мелиоративных систем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строительства (реконструкции) мелиоративных сооружений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XVI.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производства, первичной и (или) последующей (промышленной) переработки, хранения сельскохозяйственной продукции, определенные согласно критериям, установленным Правительством Российской Федерации в соответствии с </w:t>
            </w:r>
            <w:hyperlink w:history="0" r:id="rId141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пунктом 16 части 1 статьи 7</w:t>
              </w:r>
            </w:hyperlink>
            <w:r>
              <w:rPr>
                <w:sz w:val="24"/>
              </w:rPr>
      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производства, первичной и (или) последующей (промышленной) переработки, хранения сельскохозяйственной продукции, определенные согласно критериям, установленным Правительством Российской Федерации в соответствии с </w:t>
            </w:r>
            <w:hyperlink w:history="0" r:id="rId142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пунктом 16 части 1 статьи 7</w:t>
              </w:r>
            </w:hyperlink>
            <w:r>
              <w:rPr>
                <w:sz w:val="24"/>
              </w:rPr>
      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производимой продукции,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уровень обеспеченности производственными площадями и помещениями, соотношение указанной обеспеченности со средним уровнем обеспеченности по отрасли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XVII.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охотничьей инфраструктуры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охотничьей инфраструктуры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строительства (реконструкции) объектов охотничьей инфраструктуры;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текущий и прогнозный объем воспроизводства охотничьих ресурсов до и после реализации проекта;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текущий и прогнозный объем реализации охотничьих ресурсов (в том числе за счет осуществления любительской и спортивной охоты в отношении таких охотничьих ресурсов) до и после реализации проекта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XVIII.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Имущественные комплексы, предназначенные для производства промышленной продукции и (или) осуществления иной деятельности в сфере промышленности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Имущественные комплексы, предназначенные для производства промышленной продукции и (или) осуществления иной деятельности в сфере промышленности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производимой продукции, не обеспеченная за счет существующих мощностей;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уровень обеспеченности производственными площадями и помещениями, соотношение указанной обеспеченности со средним уровнем обеспеченности по отрасли.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XIX.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Программы для электронных вычислительных машин (программы для ЭВМ), базы данных, информационные системы (в том числе государственные информационные системы) и (или) сайты в информационно-телекоммуникационной сети "Интернет" или других информационно-телекоммуникационных сетях, в состав которых входят такие программы для ЭВМ и (или) базы данных, либо совокупность указанных объектов (далее - объекты информационных технологий), либо объекты информационных технологий и имущество,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деятельности, предусмотренной соглашением (далее - технические средства обеспечения функционирования объектов информационных технологий)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информационных технологий либо технические средства обеспечения функционирования объектов информационных технологий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создании объектов информационных технологий либо технических средств обеспечения функционирования объектов информационных технологий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XX.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Совокупность зданий, частей зданий или помещений, объединенных единым назначением с движимым имуществом, технологически связанным с объектами информационных технологий, и предназначенных для автоматизации с использованием программ для ЭВМ и баз данных процессов формирования, хранения, обработки, приема, передачи, доставки информации, обеспечения доступа к ней, ее представления и распространения (центры обработки данных)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Совокупность зданий, частей зданий или помещений, объединенных единым назначением с движимым имуществом, технологически связанным с объектами информационных технологий, и предназначенных для автоматизации с использованием программ для ЭВМ и баз данных процессов формирования, хранения, обработки, приема, передачи, доставки информации, обеспечения доступа к ней, ее представления и распространения (центры обработки данных)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создании совокупности зданий, частей зданий или помещений, объединенных единым назначением с движимым имуществом, технологически связанным с объектами информационных технологий, и предназначенных для автоматизации с использованием программ для ЭВМ и баз данных процессов формирования, хранения, обработки, приема, передачи, доставки информации, обеспечения доступа к ней, ее представления и распространения (центры обработки данных)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XXI.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специализированных организаций для оказания помощи лицам, находящимся в состоянии алкогольного, наркотического или иного токсического опьянения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специализированных организаций для оказания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создании объектов специализированных организаций для оказания помощи лицам, находящимся в состоянии алкогольного, наркотического или иного токсического опьянения;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текущий уровень смертности от алкогольного, наркотического или иного токсического опьянения;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прогнозный уровень смертности от алкогольного, наркотического или иного токсического опьянения после реализации проекта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XXII.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Объекты, предназначенные для размещения приютов для животных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2"/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Объекты, предназначенные для размещения приютов для животных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создании объектов, предназначенных для размещения приютов для животных;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текущее и прогнозное количество бездомных животных до и после реализации проекта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XXIII.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Здания, строения и сооружения, предназначенные для складирования, хранения и транспортировки грузов северного завоза, расположенные на территориях с ограниченными сроками завоза грузов, расположенных в границах муниципальных образований, относящихся к районам Крайнего Севера и приравненным к ним местностям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Здания, строения и сооружения, предназначенные для складирования, хранения и транспортировки грузов северного завоза, расположенные на территориях с ограниченными сроками завоза грузов, расположенных в границах муниципальных образований, относящихся к районам Крайнего Севера и приравненным к ним местностям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создании зданий, строений и сооружений, предназначенных для складирования, хранения и транспортировки грузов северного завоза, расположенных на территориях с ограниченными сроками завоза грузов, расположенных в границах муниципальных образований, относящихся к районам Крайнего Севера и приравненным к ним местностям;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текущий и прогнозный объем складирования грузов на территориях с ограниченными сроками завоза грузов, расположенных в границах муниципальных образований, относящихся к районам Крайнего Севера и приравненным к ним местностям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2"/>
            <w:tcW w:w="907" w:type="dxa"/>
            <w:tcBorders>
              <w:left w:val="single" w:sz="4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XXIV.</w:t>
            </w:r>
          </w:p>
        </w:tc>
        <w:tc>
          <w:tcPr>
            <w:gridSpan w:val="2"/>
            <w:tcW w:w="7824" w:type="dxa"/>
            <w:tcBorders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космической инфраструктуры, являющиеся недвижимым имуществом, а также указанные объекты космической инфраструктуры и технологически связанные с ними космические объекты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космической инфраструктуры, являющиеся недвижимым имуществом, а также указанные объекты космической инфраструктуры и технологически связанные с ними космические объекты</w:t>
            </w:r>
          </w:p>
        </w:tc>
        <w:tc>
          <w:tcPr>
            <w:tcW w:w="4706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Прогнозная потребность в создании объектов космической инфраструктуры, являющихся недвижимым имуществом, а также указанных объектов космической инфраструктуры и технологически связанных с ними космических объектов;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текущий и прогнозный объем передаваемой информации с использованием иностранных спутниковых систем до и после реализации проекта;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текущий и прогнозный объем непокрытых территорий Российской Федерации для целей передачи информации, безопасности до и после реализации проекта;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текущее и прогнозное время отклика при передаче информации на территории Российской Федерации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30.11.2015 N 894</w:t>
            <w:br/>
            <w:t>(ред. от 21.08.2025)</w:t>
            <w:br/>
            <w:t>"Об утверждении Методики оценки эффективности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3664&amp;date=08.12.2025&amp;dst=100006&amp;field=134" TargetMode = "External"/><Relationship Id="rId9" Type="http://schemas.openxmlformats.org/officeDocument/2006/relationships/hyperlink" Target="https://login.consultant.ru/link/?req=doc&amp;base=LAW&amp;n=511283&amp;date=08.12.2025&amp;dst=100144&amp;field=134" TargetMode = "External"/><Relationship Id="rId10" Type="http://schemas.openxmlformats.org/officeDocument/2006/relationships/hyperlink" Target="https://login.consultant.ru/link/?req=doc&amp;base=LAW&amp;n=511283&amp;date=08.12.2025&amp;dst=100290&amp;field=134" TargetMode = "External"/><Relationship Id="rId11" Type="http://schemas.openxmlformats.org/officeDocument/2006/relationships/hyperlink" Target="https://login.consultant.ru/link/?req=doc&amp;base=LAW&amp;n=513664&amp;date=08.12.2025&amp;dst=100006&amp;field=134" TargetMode = "External"/><Relationship Id="rId12" Type="http://schemas.openxmlformats.org/officeDocument/2006/relationships/hyperlink" Target="https://login.consultant.ru/link/?req=doc&amp;base=LAW&amp;n=511283&amp;date=08.12.2025&amp;dst=100022&amp;field=134" TargetMode = "External"/><Relationship Id="rId13" Type="http://schemas.openxmlformats.org/officeDocument/2006/relationships/hyperlink" Target="https://login.consultant.ru/link/?req=doc&amp;base=LAW&amp;n=513664&amp;date=08.12.2025&amp;dst=100010&amp;field=134" TargetMode = "External"/><Relationship Id="rId14" Type="http://schemas.openxmlformats.org/officeDocument/2006/relationships/hyperlink" Target="https://login.consultant.ru/link/?req=doc&amp;base=LAW&amp;n=513664&amp;date=08.12.2025&amp;dst=100011&amp;field=134" TargetMode = "External"/><Relationship Id="rId15" Type="http://schemas.openxmlformats.org/officeDocument/2006/relationships/hyperlink" Target="https://login.consultant.ru/link/?req=doc&amp;base=LAW&amp;n=513664&amp;date=08.12.2025&amp;dst=100013&amp;field=134" TargetMode = "External"/><Relationship Id="rId16" Type="http://schemas.openxmlformats.org/officeDocument/2006/relationships/hyperlink" Target="https://login.consultant.ru/link/?req=doc&amp;base=LAW&amp;n=513664&amp;date=08.12.2025&amp;dst=100014&amp;field=134" TargetMode = "External"/><Relationship Id="rId17" Type="http://schemas.openxmlformats.org/officeDocument/2006/relationships/hyperlink" Target="https://login.consultant.ru/link/?req=doc&amp;base=LAW&amp;n=513664&amp;date=08.12.2025&amp;dst=100016&amp;field=134" TargetMode = "External"/><Relationship Id="rId18" Type="http://schemas.openxmlformats.org/officeDocument/2006/relationships/hyperlink" Target="https://login.consultant.ru/link/?req=doc&amp;base=LAW&amp;n=513664&amp;date=08.12.2025&amp;dst=100017&amp;field=134" TargetMode = "External"/><Relationship Id="rId19" Type="http://schemas.openxmlformats.org/officeDocument/2006/relationships/hyperlink" Target="https://login.consultant.ru/link/?req=doc&amp;base=LAW&amp;n=513664&amp;date=08.12.2025&amp;dst=100018&amp;field=134" TargetMode = "External"/><Relationship Id="rId20" Type="http://schemas.openxmlformats.org/officeDocument/2006/relationships/hyperlink" Target="https://login.consultant.ru/link/?req=doc&amp;base=LAW&amp;n=513664&amp;date=08.12.2025&amp;dst=100020&amp;field=134" TargetMode = "External"/><Relationship Id="rId21" Type="http://schemas.openxmlformats.org/officeDocument/2006/relationships/hyperlink" Target="https://login.consultant.ru/link/?req=doc&amp;base=LAW&amp;n=513664&amp;date=08.12.2025&amp;dst=100021&amp;field=134" TargetMode = "External"/><Relationship Id="rId22" Type="http://schemas.openxmlformats.org/officeDocument/2006/relationships/hyperlink" Target="https://login.consultant.ru/link/?req=doc&amp;base=LAW&amp;n=513664&amp;date=08.12.2025&amp;dst=100023&amp;field=134" TargetMode = "External"/><Relationship Id="rId23" Type="http://schemas.openxmlformats.org/officeDocument/2006/relationships/hyperlink" Target="https://login.consultant.ru/link/?req=doc&amp;base=LAW&amp;n=513664&amp;date=08.12.2025&amp;dst=100024&amp;field=134" TargetMode = "External"/><Relationship Id="rId24" Type="http://schemas.openxmlformats.org/officeDocument/2006/relationships/hyperlink" Target="https://login.consultant.ru/link/?req=doc&amp;base=LAW&amp;n=513664&amp;date=08.12.2025&amp;dst=100025&amp;field=134" TargetMode = "External"/><Relationship Id="rId25" Type="http://schemas.openxmlformats.org/officeDocument/2006/relationships/hyperlink" Target="https://login.consultant.ru/link/?req=doc&amp;base=LAW&amp;n=513664&amp;date=08.12.2025&amp;dst=100027&amp;field=134" TargetMode = "External"/><Relationship Id="rId26" Type="http://schemas.openxmlformats.org/officeDocument/2006/relationships/hyperlink" Target="https://login.consultant.ru/link/?req=doc&amp;base=LAW&amp;n=513664&amp;date=08.12.2025&amp;dst=100028&amp;field=134" TargetMode = "External"/><Relationship Id="rId27" Type="http://schemas.openxmlformats.org/officeDocument/2006/relationships/hyperlink" Target="https://login.consultant.ru/link/?req=doc&amp;base=LAW&amp;n=513664&amp;date=08.12.2025&amp;dst=100029&amp;field=134" TargetMode = "External"/><Relationship Id="rId28" Type="http://schemas.openxmlformats.org/officeDocument/2006/relationships/hyperlink" Target="https://login.consultant.ru/link/?req=doc&amp;base=LAW&amp;n=513664&amp;date=08.12.2025&amp;dst=100030&amp;field=134" TargetMode = "External"/><Relationship Id="rId29" Type="http://schemas.openxmlformats.org/officeDocument/2006/relationships/hyperlink" Target="https://login.consultant.ru/link/?req=doc&amp;base=LAW&amp;n=513664&amp;date=08.12.2025&amp;dst=100037&amp;field=134" TargetMode = "External"/><Relationship Id="rId30" Type="http://schemas.openxmlformats.org/officeDocument/2006/relationships/hyperlink" Target="https://login.consultant.ru/link/?req=doc&amp;base=LAW&amp;n=513664&amp;date=08.12.2025&amp;dst=100039&amp;field=134" TargetMode = "External"/><Relationship Id="rId31" Type="http://schemas.openxmlformats.org/officeDocument/2006/relationships/hyperlink" Target="https://login.consultant.ru/link/?req=doc&amp;base=LAW&amp;n=513664&amp;date=08.12.2025&amp;dst=100040&amp;field=134" TargetMode = "External"/><Relationship Id="rId32" Type="http://schemas.openxmlformats.org/officeDocument/2006/relationships/hyperlink" Target="https://login.consultant.ru/link/?req=doc&amp;base=LAW&amp;n=513664&amp;date=08.12.2025&amp;dst=100041&amp;field=134" TargetMode = "External"/><Relationship Id="rId33" Type="http://schemas.openxmlformats.org/officeDocument/2006/relationships/hyperlink" Target="https://login.consultant.ru/link/?req=doc&amp;base=LAW&amp;n=513664&amp;date=08.12.2025&amp;dst=100042&amp;field=134" TargetMode = "External"/><Relationship Id="rId34" Type="http://schemas.openxmlformats.org/officeDocument/2006/relationships/hyperlink" Target="https://login.consultant.ru/link/?req=doc&amp;base=LAW&amp;n=513664&amp;date=08.12.2025&amp;dst=100044&amp;field=134" TargetMode = "External"/><Relationship Id="rId35" Type="http://schemas.openxmlformats.org/officeDocument/2006/relationships/hyperlink" Target="https://login.consultant.ru/link/?req=doc&amp;base=LAW&amp;n=513664&amp;date=08.12.2025&amp;dst=100045&amp;field=134" TargetMode = "External"/><Relationship Id="rId36" Type="http://schemas.openxmlformats.org/officeDocument/2006/relationships/hyperlink" Target="https://login.consultant.ru/link/?req=doc&amp;base=LAW&amp;n=513664&amp;date=08.12.2025&amp;dst=100056&amp;field=134" TargetMode = "External"/><Relationship Id="rId37" Type="http://schemas.openxmlformats.org/officeDocument/2006/relationships/hyperlink" Target="https://login.consultant.ru/link/?req=doc&amp;base=LAW&amp;n=513664&amp;date=08.12.2025&amp;dst=100057&amp;field=134" TargetMode = "External"/><Relationship Id="rId38" Type="http://schemas.openxmlformats.org/officeDocument/2006/relationships/hyperlink" Target="https://login.consultant.ru/link/?req=doc&amp;base=LAW&amp;n=513664&amp;date=08.12.2025&amp;dst=100060&amp;field=134" TargetMode = "External"/><Relationship Id="rId39" Type="http://schemas.openxmlformats.org/officeDocument/2006/relationships/hyperlink" Target="https://login.consultant.ru/link/?req=doc&amp;base=LAW&amp;n=513664&amp;date=08.12.2025&amp;dst=100061&amp;field=134" TargetMode = "External"/><Relationship Id="rId40" Type="http://schemas.openxmlformats.org/officeDocument/2006/relationships/hyperlink" Target="https://login.consultant.ru/link/?req=doc&amp;base=LAW&amp;n=513664&amp;date=08.12.2025&amp;dst=100062&amp;field=134" TargetMode = "External"/><Relationship Id="rId41" Type="http://schemas.openxmlformats.org/officeDocument/2006/relationships/hyperlink" Target="https://login.consultant.ru/link/?req=doc&amp;base=LAW&amp;n=513664&amp;date=08.12.2025&amp;dst=100063&amp;field=134" TargetMode = "External"/><Relationship Id="rId42" Type="http://schemas.openxmlformats.org/officeDocument/2006/relationships/hyperlink" Target="https://login.consultant.ru/link/?req=doc&amp;base=LAW&amp;n=513664&amp;date=08.12.2025&amp;dst=100065&amp;field=134" TargetMode = "External"/><Relationship Id="rId43" Type="http://schemas.openxmlformats.org/officeDocument/2006/relationships/hyperlink" Target="https://login.consultant.ru/link/?req=doc&amp;base=LAW&amp;n=513664&amp;date=08.12.2025&amp;dst=100066&amp;field=134" TargetMode = "External"/><Relationship Id="rId44" Type="http://schemas.openxmlformats.org/officeDocument/2006/relationships/hyperlink" Target="https://login.consultant.ru/link/?req=doc&amp;base=LAW&amp;n=513664&amp;date=08.12.2025&amp;dst=100067&amp;field=134" TargetMode = "External"/><Relationship Id="rId45" Type="http://schemas.openxmlformats.org/officeDocument/2006/relationships/hyperlink" Target="https://login.consultant.ru/link/?req=doc&amp;base=LAW&amp;n=513664&amp;date=08.12.2025&amp;dst=100068&amp;field=134" TargetMode = "External"/><Relationship Id="rId46" Type="http://schemas.openxmlformats.org/officeDocument/2006/relationships/hyperlink" Target="https://login.consultant.ru/link/?req=doc&amp;base=LAW&amp;n=513664&amp;date=08.12.2025&amp;dst=100071&amp;field=134" TargetMode = "External"/><Relationship Id="rId47" Type="http://schemas.openxmlformats.org/officeDocument/2006/relationships/hyperlink" Target="https://login.consultant.ru/link/?req=doc&amp;base=LAW&amp;n=513664&amp;date=08.12.2025&amp;dst=100069&amp;field=134" TargetMode = "External"/><Relationship Id="rId48" Type="http://schemas.openxmlformats.org/officeDocument/2006/relationships/hyperlink" Target="https://login.consultant.ru/link/?req=doc&amp;base=LAW&amp;n=513664&amp;date=08.12.2025&amp;dst=100073&amp;field=134" TargetMode = "External"/><Relationship Id="rId49" Type="http://schemas.openxmlformats.org/officeDocument/2006/relationships/hyperlink" Target="https://login.consultant.ru/link/?req=doc&amp;base=LAW&amp;n=513664&amp;date=08.12.2025&amp;dst=100074&amp;field=134" TargetMode = "External"/><Relationship Id="rId50" Type="http://schemas.openxmlformats.org/officeDocument/2006/relationships/hyperlink" Target="https://login.consultant.ru/link/?req=doc&amp;base=LAW&amp;n=513664&amp;date=08.12.2025&amp;dst=100075&amp;field=134" TargetMode = "External"/><Relationship Id="rId51" Type="http://schemas.openxmlformats.org/officeDocument/2006/relationships/hyperlink" Target="https://login.consultant.ru/link/?req=doc&amp;base=LAW&amp;n=513664&amp;date=08.12.2025&amp;dst=100076&amp;field=134" TargetMode = "External"/><Relationship Id="rId52" Type="http://schemas.openxmlformats.org/officeDocument/2006/relationships/hyperlink" Target="https://login.consultant.ru/link/?req=doc&amp;base=LAW&amp;n=513664&amp;date=08.12.2025&amp;dst=100077&amp;field=134" TargetMode = "External"/><Relationship Id="rId53" Type="http://schemas.openxmlformats.org/officeDocument/2006/relationships/hyperlink" Target="https://login.consultant.ru/link/?req=doc&amp;base=LAW&amp;n=513664&amp;date=08.12.2025&amp;dst=100078&amp;field=134" TargetMode = "External"/><Relationship Id="rId54" Type="http://schemas.openxmlformats.org/officeDocument/2006/relationships/hyperlink" Target="https://login.consultant.ru/link/?req=doc&amp;base=LAW&amp;n=513664&amp;date=08.12.2025&amp;dst=100080&amp;field=134" TargetMode = "External"/><Relationship Id="rId55" Type="http://schemas.openxmlformats.org/officeDocument/2006/relationships/image" Target="media/image2.wmf"/><Relationship Id="rId56" Type="http://schemas.openxmlformats.org/officeDocument/2006/relationships/image" Target="media/image3.wmf"/><Relationship Id="rId57" Type="http://schemas.openxmlformats.org/officeDocument/2006/relationships/hyperlink" Target="https://login.consultant.ru/link/?req=doc&amp;base=LAW&amp;n=513664&amp;date=08.12.2025&amp;dst=100081&amp;field=134" TargetMode = "External"/><Relationship Id="rId58" Type="http://schemas.openxmlformats.org/officeDocument/2006/relationships/hyperlink" Target="https://login.consultant.ru/link/?req=doc&amp;base=LAW&amp;n=513664&amp;date=08.12.2025&amp;dst=100093&amp;field=134" TargetMode = "External"/><Relationship Id="rId59" Type="http://schemas.openxmlformats.org/officeDocument/2006/relationships/image" Target="media/image4.wmf"/><Relationship Id="rId60" Type="http://schemas.openxmlformats.org/officeDocument/2006/relationships/image" Target="media/image5.wmf"/><Relationship Id="rId61" Type="http://schemas.openxmlformats.org/officeDocument/2006/relationships/image" Target="media/image6.wmf"/><Relationship Id="rId62" Type="http://schemas.openxmlformats.org/officeDocument/2006/relationships/hyperlink" Target="https://login.consultant.ru/link/?req=doc&amp;base=LAW&amp;n=513664&amp;date=08.12.2025&amp;dst=100094&amp;field=134" TargetMode = "External"/><Relationship Id="rId63" Type="http://schemas.openxmlformats.org/officeDocument/2006/relationships/hyperlink" Target="https://login.consultant.ru/link/?req=doc&amp;base=LAW&amp;n=513664&amp;date=08.12.2025&amp;dst=100111&amp;field=134" TargetMode = "External"/><Relationship Id="rId64" Type="http://schemas.openxmlformats.org/officeDocument/2006/relationships/hyperlink" Target="https://login.consultant.ru/link/?req=doc&amp;base=LAW&amp;n=512457&amp;date=08.12.2025&amp;dst=100008&amp;field=134" TargetMode = "External"/><Relationship Id="rId65" Type="http://schemas.openxmlformats.org/officeDocument/2006/relationships/hyperlink" Target="https://login.consultant.ru/link/?req=doc&amp;base=LAW&amp;n=512457&amp;date=08.12.2025&amp;dst=100008&amp;field=134" TargetMode = "External"/><Relationship Id="rId66" Type="http://schemas.openxmlformats.org/officeDocument/2006/relationships/hyperlink" Target="https://login.consultant.ru/link/?req=doc&amp;base=LAW&amp;n=513664&amp;date=08.12.2025&amp;dst=100116&amp;field=134" TargetMode = "External"/><Relationship Id="rId67" Type="http://schemas.openxmlformats.org/officeDocument/2006/relationships/image" Target="media/image7.wmf"/><Relationship Id="rId68" Type="http://schemas.openxmlformats.org/officeDocument/2006/relationships/image" Target="media/image8.wmf"/><Relationship Id="rId69" Type="http://schemas.openxmlformats.org/officeDocument/2006/relationships/image" Target="media/image9.wmf"/><Relationship Id="rId70" Type="http://schemas.openxmlformats.org/officeDocument/2006/relationships/hyperlink" Target="https://login.consultant.ru/link/?req=doc&amp;base=LAW&amp;n=513664&amp;date=08.12.2025&amp;dst=100135&amp;field=134" TargetMode = "External"/><Relationship Id="rId71" Type="http://schemas.openxmlformats.org/officeDocument/2006/relationships/hyperlink" Target="https://login.consultant.ru/link/?req=doc&amp;base=LAW&amp;n=513664&amp;date=08.12.2025&amp;dst=100137&amp;field=134" TargetMode = "External"/><Relationship Id="rId72" Type="http://schemas.openxmlformats.org/officeDocument/2006/relationships/image" Target="media/image10.wmf"/><Relationship Id="rId73" Type="http://schemas.openxmlformats.org/officeDocument/2006/relationships/image" Target="media/image11.wmf"/><Relationship Id="rId74" Type="http://schemas.openxmlformats.org/officeDocument/2006/relationships/image" Target="media/image12.wmf"/><Relationship Id="rId75" Type="http://schemas.openxmlformats.org/officeDocument/2006/relationships/image" Target="media/image13.wmf"/><Relationship Id="rId76" Type="http://schemas.openxmlformats.org/officeDocument/2006/relationships/image" Target="media/image14.wmf"/><Relationship Id="rId77" Type="http://schemas.openxmlformats.org/officeDocument/2006/relationships/image" Target="media/image15.wmf"/><Relationship Id="rId78" Type="http://schemas.openxmlformats.org/officeDocument/2006/relationships/hyperlink" Target="https://login.consultant.ru/link/?req=doc&amp;base=LAW&amp;n=513664&amp;date=08.12.2025&amp;dst=100140&amp;field=134" TargetMode = "External"/><Relationship Id="rId79" Type="http://schemas.openxmlformats.org/officeDocument/2006/relationships/hyperlink" Target="https://login.consultant.ru/link/?req=doc&amp;base=LAW&amp;n=513664&amp;date=08.12.2025&amp;dst=100142&amp;field=134" TargetMode = "External"/><Relationship Id="rId80" Type="http://schemas.openxmlformats.org/officeDocument/2006/relationships/image" Target="media/image16.wmf"/><Relationship Id="rId81" Type="http://schemas.openxmlformats.org/officeDocument/2006/relationships/image" Target="media/image17.wmf"/><Relationship Id="rId82" Type="http://schemas.openxmlformats.org/officeDocument/2006/relationships/image" Target="media/image18.wmf"/><Relationship Id="rId83" Type="http://schemas.openxmlformats.org/officeDocument/2006/relationships/image" Target="media/image19.wmf"/><Relationship Id="rId84" Type="http://schemas.openxmlformats.org/officeDocument/2006/relationships/image" Target="media/image20.wmf"/><Relationship Id="rId85" Type="http://schemas.openxmlformats.org/officeDocument/2006/relationships/image" Target="media/image21.wmf"/><Relationship Id="rId86" Type="http://schemas.openxmlformats.org/officeDocument/2006/relationships/image" Target="media/image22.wmf"/><Relationship Id="rId87" Type="http://schemas.openxmlformats.org/officeDocument/2006/relationships/image" Target="media/image23.wmf"/><Relationship Id="rId88" Type="http://schemas.openxmlformats.org/officeDocument/2006/relationships/image" Target="media/image24.wmf"/><Relationship Id="rId89" Type="http://schemas.openxmlformats.org/officeDocument/2006/relationships/image" Target="media/image25.wmf"/><Relationship Id="rId90" Type="http://schemas.openxmlformats.org/officeDocument/2006/relationships/image" Target="media/image26.wmf"/><Relationship Id="rId91" Type="http://schemas.openxmlformats.org/officeDocument/2006/relationships/image" Target="media/image27.wmf"/><Relationship Id="rId92" Type="http://schemas.openxmlformats.org/officeDocument/2006/relationships/image" Target="media/image28.wmf"/><Relationship Id="rId93" Type="http://schemas.openxmlformats.org/officeDocument/2006/relationships/image" Target="media/image29.wmf"/><Relationship Id="rId94" Type="http://schemas.openxmlformats.org/officeDocument/2006/relationships/image" Target="media/image30.wmf"/><Relationship Id="rId95" Type="http://schemas.openxmlformats.org/officeDocument/2006/relationships/image" Target="media/image31.wmf"/><Relationship Id="rId96" Type="http://schemas.openxmlformats.org/officeDocument/2006/relationships/image" Target="media/image32.wmf"/><Relationship Id="rId97" Type="http://schemas.openxmlformats.org/officeDocument/2006/relationships/image" Target="media/image33.wmf"/><Relationship Id="rId98" Type="http://schemas.openxmlformats.org/officeDocument/2006/relationships/image" Target="media/image34.wmf"/><Relationship Id="rId99" Type="http://schemas.openxmlformats.org/officeDocument/2006/relationships/image" Target="media/image35.wmf"/><Relationship Id="rId100" Type="http://schemas.openxmlformats.org/officeDocument/2006/relationships/image" Target="media/image36.wmf"/><Relationship Id="rId101" Type="http://schemas.openxmlformats.org/officeDocument/2006/relationships/image" Target="media/image37.wmf"/><Relationship Id="rId102" Type="http://schemas.openxmlformats.org/officeDocument/2006/relationships/image" Target="media/image38.wmf"/><Relationship Id="rId103" Type="http://schemas.openxmlformats.org/officeDocument/2006/relationships/image" Target="media/image39.wmf"/><Relationship Id="rId104" Type="http://schemas.openxmlformats.org/officeDocument/2006/relationships/image" Target="media/image40.wmf"/><Relationship Id="rId105" Type="http://schemas.openxmlformats.org/officeDocument/2006/relationships/image" Target="media/image41.wmf"/><Relationship Id="rId106" Type="http://schemas.openxmlformats.org/officeDocument/2006/relationships/image" Target="media/image42.wmf"/><Relationship Id="rId107" Type="http://schemas.openxmlformats.org/officeDocument/2006/relationships/image" Target="media/image43.wmf"/><Relationship Id="rId108" Type="http://schemas.openxmlformats.org/officeDocument/2006/relationships/image" Target="media/image44.wmf"/><Relationship Id="rId109" Type="http://schemas.openxmlformats.org/officeDocument/2006/relationships/image" Target="media/image45.wmf"/><Relationship Id="rId110" Type="http://schemas.openxmlformats.org/officeDocument/2006/relationships/image" Target="media/image46.wmf"/><Relationship Id="rId111" Type="http://schemas.openxmlformats.org/officeDocument/2006/relationships/image" Target="media/image47.wmf"/><Relationship Id="rId112" Type="http://schemas.openxmlformats.org/officeDocument/2006/relationships/image" Target="media/image48.wmf"/><Relationship Id="rId113" Type="http://schemas.openxmlformats.org/officeDocument/2006/relationships/image" Target="media/image49.wmf"/><Relationship Id="rId114" Type="http://schemas.openxmlformats.org/officeDocument/2006/relationships/image" Target="media/image50.wmf"/><Relationship Id="rId115" Type="http://schemas.openxmlformats.org/officeDocument/2006/relationships/image" Target="media/image51.wmf"/><Relationship Id="rId116" Type="http://schemas.openxmlformats.org/officeDocument/2006/relationships/image" Target="media/image52.wmf"/><Relationship Id="rId117" Type="http://schemas.openxmlformats.org/officeDocument/2006/relationships/image" Target="media/image53.wmf"/><Relationship Id="rId118" Type="http://schemas.openxmlformats.org/officeDocument/2006/relationships/hyperlink" Target="https://login.consultant.ru/link/?req=doc&amp;base=LAW&amp;n=513664&amp;date=08.12.2025&amp;dst=100144&amp;field=134" TargetMode = "External"/><Relationship Id="rId119" Type="http://schemas.openxmlformats.org/officeDocument/2006/relationships/image" Target="media/image54.wmf"/><Relationship Id="rId120" Type="http://schemas.openxmlformats.org/officeDocument/2006/relationships/image" Target="media/image55.wmf"/><Relationship Id="rId121" Type="http://schemas.openxmlformats.org/officeDocument/2006/relationships/image" Target="media/image56.wmf"/><Relationship Id="rId122" Type="http://schemas.openxmlformats.org/officeDocument/2006/relationships/image" Target="media/image57.wmf"/><Relationship Id="rId123" Type="http://schemas.openxmlformats.org/officeDocument/2006/relationships/image" Target="media/image58.wmf"/><Relationship Id="rId124" Type="http://schemas.openxmlformats.org/officeDocument/2006/relationships/image" Target="media/image59.wmf"/><Relationship Id="rId125" Type="http://schemas.openxmlformats.org/officeDocument/2006/relationships/image" Target="media/image60.wmf"/><Relationship Id="rId126" Type="http://schemas.openxmlformats.org/officeDocument/2006/relationships/image" Target="media/image61.wmf"/><Relationship Id="rId127" Type="http://schemas.openxmlformats.org/officeDocument/2006/relationships/image" Target="media/image62.wmf"/><Relationship Id="rId128" Type="http://schemas.openxmlformats.org/officeDocument/2006/relationships/image" Target="media/image63.wmf"/><Relationship Id="rId129" Type="http://schemas.openxmlformats.org/officeDocument/2006/relationships/image" Target="media/image64.wmf"/><Relationship Id="rId130" Type="http://schemas.openxmlformats.org/officeDocument/2006/relationships/image" Target="media/image65.wmf"/><Relationship Id="rId131" Type="http://schemas.openxmlformats.org/officeDocument/2006/relationships/image" Target="media/image66.wmf"/><Relationship Id="rId132" Type="http://schemas.openxmlformats.org/officeDocument/2006/relationships/image" Target="media/image67.wmf"/><Relationship Id="rId133" Type="http://schemas.openxmlformats.org/officeDocument/2006/relationships/image" Target="media/image68.wmf"/><Relationship Id="rId134" Type="http://schemas.openxmlformats.org/officeDocument/2006/relationships/image" Target="media/image69.wmf"/><Relationship Id="rId135" Type="http://schemas.openxmlformats.org/officeDocument/2006/relationships/hyperlink" Target="https://login.consultant.ru/link/?req=doc&amp;base=LAW&amp;n=513664&amp;date=08.12.2025&amp;dst=100146&amp;field=134" TargetMode = "External"/><Relationship Id="rId136" Type="http://schemas.openxmlformats.org/officeDocument/2006/relationships/hyperlink" Target="https://login.consultant.ru/link/?req=doc&amp;base=LAW&amp;n=513664&amp;date=08.12.2025&amp;dst=100164&amp;field=134" TargetMode = "External"/><Relationship Id="rId137" Type="http://schemas.openxmlformats.org/officeDocument/2006/relationships/hyperlink" Target="https://login.consultant.ru/link/?req=doc&amp;base=LAW&amp;n=513664&amp;date=08.12.2025&amp;dst=100176&amp;field=134" TargetMode = "External"/><Relationship Id="rId138" Type="http://schemas.openxmlformats.org/officeDocument/2006/relationships/hyperlink" Target="https://login.consultant.ru/link/?req=doc&amp;base=LAW&amp;n=513664&amp;date=08.12.2025&amp;dst=100195&amp;field=134" TargetMode = "External"/><Relationship Id="rId139" Type="http://schemas.openxmlformats.org/officeDocument/2006/relationships/hyperlink" Target="https://login.consultant.ru/link/?req=doc&amp;base=LAW&amp;n=513664&amp;date=08.12.2025&amp;dst=100222&amp;field=134" TargetMode = "External"/><Relationship Id="rId140" Type="http://schemas.openxmlformats.org/officeDocument/2006/relationships/hyperlink" Target="https://login.consultant.ru/link/?req=doc&amp;base=LAW&amp;n=513664&amp;date=08.12.2025&amp;dst=100243&amp;field=134" TargetMode = "External"/><Relationship Id="rId141" Type="http://schemas.openxmlformats.org/officeDocument/2006/relationships/hyperlink" Target="https://login.consultant.ru/link/?req=doc&amp;base=LAW&amp;n=511283&amp;date=08.12.2025&amp;dst=93&amp;field=134" TargetMode = "External"/><Relationship Id="rId142" Type="http://schemas.openxmlformats.org/officeDocument/2006/relationships/hyperlink" Target="https://login.consultant.ru/link/?req=doc&amp;base=LAW&amp;n=511283&amp;date=08.12.2025&amp;dst=9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30.11.2015 N 894
(ред. от 21.08.2025)
"Об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преимущества"
(Зарегистрировано в Минюсте России 30.12.2015 N 40375)</dc:title>
  <dcterms:created xsi:type="dcterms:W3CDTF">2025-12-08T15:25:48Z</dcterms:created>
</cp:coreProperties>
</file>